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CE" w:rsidRPr="00CD53CE" w:rsidRDefault="00CD53CE" w:rsidP="00CD53CE">
      <w:pPr>
        <w:ind w:left="1570" w:hanging="357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 w:eastAsia="en-US"/>
        </w:rPr>
      </w:pPr>
      <w:bookmarkStart w:id="0" w:name="_Toc288471887"/>
      <w:bookmarkStart w:id="1" w:name="_Toc296416799"/>
      <w:r w:rsidRPr="00CD53CE">
        <w:rPr>
          <w:b/>
        </w:rPr>
        <w:t>СЪДЪРЖАНИЕ</w:t>
      </w:r>
      <w:r w:rsidR="00563DA6" w:rsidRPr="00563DA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 w:eastAsia="en-US"/>
        </w:rPr>
        <w:fldChar w:fldCharType="begin"/>
      </w:r>
      <w:r w:rsidRPr="00CD53CE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 w:eastAsia="en-US"/>
        </w:rPr>
        <w:instrText xml:space="preserve"> INDEX \c "2" \z "1033" </w:instrText>
      </w:r>
      <w:r w:rsidR="00563DA6" w:rsidRPr="00563DA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 w:eastAsia="en-US"/>
        </w:rPr>
        <w:fldChar w:fldCharType="separat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bg-BG" w:eastAsia="bg-BG"/>
        </w:rPr>
        <w:id w:val="19261445"/>
        <w:docPartObj>
          <w:docPartGallery w:val="Table of Contents"/>
          <w:docPartUnique/>
        </w:docPartObj>
      </w:sdtPr>
      <w:sdtContent>
        <w:p w:rsidR="00CD53CE" w:rsidRPr="00CD53CE" w:rsidRDefault="00CD53CE">
          <w:pPr>
            <w:pStyle w:val="TOCHeading"/>
          </w:pPr>
        </w:p>
        <w:p w:rsidR="00CD53CE" w:rsidRPr="00CD53CE" w:rsidRDefault="00563DA6">
          <w:pPr>
            <w:pStyle w:val="TOC1"/>
            <w:tabs>
              <w:tab w:val="right" w:leader="dot" w:pos="9395"/>
            </w:tabs>
            <w:rPr>
              <w:b/>
              <w:noProof/>
            </w:rPr>
          </w:pPr>
          <w:r w:rsidRPr="00CD53CE">
            <w:rPr>
              <w:b/>
            </w:rPr>
            <w:fldChar w:fldCharType="begin"/>
          </w:r>
          <w:r w:rsidR="00CD53CE" w:rsidRPr="00CD53CE">
            <w:rPr>
              <w:b/>
            </w:rPr>
            <w:instrText xml:space="preserve"> TOC \o "1-3" \h \z \u </w:instrText>
          </w:r>
          <w:r w:rsidRPr="00CD53CE">
            <w:rPr>
              <w:b/>
            </w:rPr>
            <w:fldChar w:fldCharType="separate"/>
          </w:r>
          <w:hyperlink w:anchor="_Toc322524692" w:history="1">
            <w:r w:rsidR="00CD53CE" w:rsidRPr="00CD53CE">
              <w:rPr>
                <w:rStyle w:val="Hyperlink"/>
                <w:b/>
                <w:noProof/>
              </w:rPr>
              <w:t>Въведение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_Toc322524692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2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1"/>
            <w:tabs>
              <w:tab w:val="right" w:leader="dot" w:pos="9395"/>
            </w:tabs>
            <w:rPr>
              <w:b/>
              <w:noProof/>
            </w:rPr>
          </w:pPr>
          <w:hyperlink w:anchor="_Toc322524693" w:history="1">
            <w:r w:rsidR="00CD53CE" w:rsidRPr="00CD53CE">
              <w:rPr>
                <w:rStyle w:val="Hyperlink"/>
                <w:b/>
                <w:noProof/>
              </w:rPr>
              <w:t>1.Обща част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_Toc322524693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2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right" w:leader="dot" w:pos="9395"/>
            </w:tabs>
            <w:rPr>
              <w:b/>
              <w:noProof/>
            </w:rPr>
          </w:pPr>
          <w:hyperlink w:anchor="_Toc322524694" w:history="1">
            <w:r w:rsidR="00CD53CE" w:rsidRPr="00CD53CE">
              <w:rPr>
                <w:rStyle w:val="Hyperlink"/>
                <w:b/>
                <w:noProof/>
              </w:rPr>
              <w:t>1.1. Местоположение на обекта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_Toc322524694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2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right" w:leader="dot" w:pos="9395"/>
            </w:tabs>
            <w:rPr>
              <w:b/>
              <w:noProof/>
            </w:rPr>
          </w:pPr>
          <w:hyperlink w:anchor="_Toc322524695" w:history="1">
            <w:r w:rsidR="00CD53CE" w:rsidRPr="00CD53CE">
              <w:rPr>
                <w:rStyle w:val="Hyperlink"/>
                <w:b/>
                <w:noProof/>
              </w:rPr>
              <w:t>1.2. Геоморфоложка характеристика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_Toc322524695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2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right" w:leader="dot" w:pos="9395"/>
            </w:tabs>
            <w:rPr>
              <w:b/>
              <w:noProof/>
            </w:rPr>
          </w:pPr>
          <w:hyperlink w:anchor="_Toc322524696" w:history="1">
            <w:r w:rsidR="00CD53CE" w:rsidRPr="00CD53CE">
              <w:rPr>
                <w:rStyle w:val="Hyperlink"/>
                <w:b/>
                <w:noProof/>
              </w:rPr>
              <w:t>1.3. Геоложка характеристика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_Toc322524696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3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1"/>
            <w:tabs>
              <w:tab w:val="right" w:leader="dot" w:pos="9395"/>
            </w:tabs>
            <w:rPr>
              <w:b/>
              <w:noProof/>
            </w:rPr>
          </w:pPr>
          <w:hyperlink w:anchor="_Toc322524697" w:history="1">
            <w:r w:rsidR="00CD53CE" w:rsidRPr="00CD53CE">
              <w:rPr>
                <w:rStyle w:val="Hyperlink"/>
                <w:b/>
                <w:noProof/>
              </w:rPr>
              <w:t>2.Специална част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_Toc322524697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3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right" w:leader="dot" w:pos="9395"/>
            </w:tabs>
            <w:rPr>
              <w:b/>
              <w:noProof/>
            </w:rPr>
          </w:pPr>
          <w:hyperlink w:anchor="_Toc322524698" w:history="1">
            <w:r w:rsidR="00CD53CE" w:rsidRPr="00CD53CE">
              <w:rPr>
                <w:rStyle w:val="Hyperlink"/>
                <w:b/>
                <w:noProof/>
              </w:rPr>
              <w:t>2.1. Методика на проучването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_Toc322524698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3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right" w:leader="dot" w:pos="9395"/>
            </w:tabs>
            <w:rPr>
              <w:b/>
              <w:noProof/>
            </w:rPr>
          </w:pPr>
          <w:hyperlink w:anchor="_Toc322524699" w:history="1">
            <w:r w:rsidR="00CD53CE" w:rsidRPr="00CD53CE">
              <w:rPr>
                <w:rStyle w:val="Hyperlink"/>
                <w:b/>
                <w:noProof/>
              </w:rPr>
              <w:t>2.2. Обем на проучвателните работи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_Toc322524699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4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right" w:leader="dot" w:pos="9395"/>
            </w:tabs>
            <w:rPr>
              <w:b/>
              <w:noProof/>
            </w:rPr>
          </w:pPr>
          <w:hyperlink w:anchor="_Toc322524700" w:history="1">
            <w:r w:rsidR="00CD53CE" w:rsidRPr="00CD53CE">
              <w:rPr>
                <w:rStyle w:val="Hyperlink"/>
                <w:b/>
                <w:noProof/>
              </w:rPr>
              <w:t>2.3. Геоложки условия на терена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_Toc322524700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4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left" w:pos="880"/>
              <w:tab w:val="right" w:leader="dot" w:pos="9395"/>
            </w:tabs>
            <w:rPr>
              <w:b/>
              <w:noProof/>
            </w:rPr>
          </w:pPr>
          <w:hyperlink w:anchor="_Toc322524701" w:history="1">
            <w:r w:rsidR="00CD53CE" w:rsidRPr="00CD53CE">
              <w:rPr>
                <w:rStyle w:val="Hyperlink"/>
                <w:b/>
                <w:noProof/>
              </w:rPr>
              <w:t>2.4.</w:t>
            </w:r>
            <w:r w:rsidR="00CD53CE" w:rsidRPr="00CD53CE">
              <w:rPr>
                <w:b/>
                <w:noProof/>
              </w:rPr>
              <w:tab/>
            </w:r>
            <w:r w:rsidR="00CD53CE" w:rsidRPr="00CD53CE">
              <w:rPr>
                <w:rStyle w:val="Hyperlink"/>
                <w:b/>
                <w:noProof/>
              </w:rPr>
              <w:t>Хидрогеоложки условия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_Toc322524701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6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left" w:pos="880"/>
              <w:tab w:val="right" w:leader="dot" w:pos="9395"/>
            </w:tabs>
            <w:rPr>
              <w:b/>
              <w:noProof/>
            </w:rPr>
          </w:pPr>
          <w:hyperlink w:anchor="_Toc322524702" w:history="1">
            <w:r w:rsidR="00CD53CE" w:rsidRPr="00CD53CE">
              <w:rPr>
                <w:rStyle w:val="Hyperlink"/>
                <w:b/>
                <w:noProof/>
              </w:rPr>
              <w:t>2.5.</w:t>
            </w:r>
            <w:r w:rsidR="00CD53CE" w:rsidRPr="00CD53CE">
              <w:rPr>
                <w:b/>
                <w:noProof/>
              </w:rPr>
              <w:tab/>
            </w:r>
            <w:r w:rsidR="00CD53CE" w:rsidRPr="00CD53CE">
              <w:rPr>
                <w:rStyle w:val="Hyperlink"/>
                <w:b/>
                <w:noProof/>
              </w:rPr>
              <w:t>Физико-геоложки процеси и явления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_Toc322524702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6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2"/>
            <w:tabs>
              <w:tab w:val="left" w:pos="880"/>
              <w:tab w:val="right" w:leader="dot" w:pos="9395"/>
            </w:tabs>
            <w:rPr>
              <w:b/>
              <w:noProof/>
            </w:rPr>
          </w:pPr>
          <w:hyperlink w:anchor="_Toc322524703" w:history="1">
            <w:r w:rsidR="00CD53CE" w:rsidRPr="00CD53CE">
              <w:rPr>
                <w:rStyle w:val="Hyperlink"/>
                <w:b/>
                <w:noProof/>
              </w:rPr>
              <w:t>2.6.</w:t>
            </w:r>
            <w:r w:rsidR="00CD53CE" w:rsidRPr="00CD53CE">
              <w:rPr>
                <w:b/>
                <w:noProof/>
              </w:rPr>
              <w:tab/>
            </w:r>
            <w:r w:rsidR="00CD53CE" w:rsidRPr="00CD53CE">
              <w:rPr>
                <w:rStyle w:val="Hyperlink"/>
                <w:b/>
                <w:noProof/>
              </w:rPr>
              <w:t>Сеизмичност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_Toc322524703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6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1"/>
            <w:tabs>
              <w:tab w:val="right" w:leader="dot" w:pos="9395"/>
            </w:tabs>
            <w:rPr>
              <w:b/>
              <w:noProof/>
            </w:rPr>
          </w:pPr>
          <w:hyperlink w:anchor="_Toc322524704" w:history="1">
            <w:r w:rsidR="00CD53CE" w:rsidRPr="00CD53CE">
              <w:rPr>
                <w:rStyle w:val="Hyperlink"/>
                <w:b/>
                <w:noProof/>
              </w:rPr>
              <w:t>ЗАКЛЮЧЕНИЕ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_Toc322524704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7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pStyle w:val="TOC1"/>
            <w:tabs>
              <w:tab w:val="right" w:leader="dot" w:pos="9395"/>
            </w:tabs>
            <w:rPr>
              <w:b/>
              <w:noProof/>
            </w:rPr>
          </w:pPr>
          <w:hyperlink w:anchor="_Toc322524705" w:history="1">
            <w:r w:rsidR="00CD53CE" w:rsidRPr="00CD53CE">
              <w:rPr>
                <w:rStyle w:val="Hyperlink"/>
                <w:b/>
                <w:noProof/>
              </w:rPr>
              <w:t>Използвана литература</w:t>
            </w:r>
            <w:r w:rsidR="00CD53CE" w:rsidRPr="00CD53CE">
              <w:rPr>
                <w:b/>
                <w:noProof/>
                <w:webHidden/>
              </w:rPr>
              <w:tab/>
            </w:r>
            <w:r w:rsidRPr="00CD53CE">
              <w:rPr>
                <w:b/>
                <w:noProof/>
                <w:webHidden/>
              </w:rPr>
              <w:fldChar w:fldCharType="begin"/>
            </w:r>
            <w:r w:rsidR="00CD53CE" w:rsidRPr="00CD53CE">
              <w:rPr>
                <w:b/>
                <w:noProof/>
                <w:webHidden/>
              </w:rPr>
              <w:instrText xml:space="preserve"> PAGEREF _Toc322524705 \h </w:instrText>
            </w:r>
            <w:r w:rsidRPr="00CD53CE">
              <w:rPr>
                <w:b/>
                <w:noProof/>
                <w:webHidden/>
              </w:rPr>
            </w:r>
            <w:r w:rsidRPr="00CD53CE">
              <w:rPr>
                <w:b/>
                <w:noProof/>
                <w:webHidden/>
              </w:rPr>
              <w:fldChar w:fldCharType="separate"/>
            </w:r>
            <w:r w:rsidR="00CD53CE" w:rsidRPr="00CD53CE">
              <w:rPr>
                <w:b/>
                <w:noProof/>
                <w:webHidden/>
              </w:rPr>
              <w:t>8</w:t>
            </w:r>
            <w:r w:rsidRPr="00CD53CE">
              <w:rPr>
                <w:b/>
                <w:noProof/>
                <w:webHidden/>
              </w:rPr>
              <w:fldChar w:fldCharType="end"/>
            </w:r>
          </w:hyperlink>
        </w:p>
        <w:p w:rsidR="00CD53CE" w:rsidRPr="00CD53CE" w:rsidRDefault="00563DA6">
          <w:pPr>
            <w:rPr>
              <w:b/>
            </w:rPr>
          </w:pPr>
          <w:r w:rsidRPr="00CD53CE">
            <w:rPr>
              <w:b/>
            </w:rPr>
            <w:fldChar w:fldCharType="end"/>
          </w:r>
        </w:p>
        <w:p w:rsidR="00CD53CE" w:rsidRPr="00CD53CE" w:rsidRDefault="00CD53CE">
          <w:pPr>
            <w:rPr>
              <w:b/>
            </w:rPr>
          </w:pPr>
          <w:r w:rsidRPr="00CD53CE">
            <w:rPr>
              <w:b/>
            </w:rPr>
            <w:t>ПРИЛОЖЕНИЯ</w:t>
          </w:r>
        </w:p>
        <w:p w:rsidR="00CD53CE" w:rsidRPr="00CD53CE" w:rsidRDefault="00CD53CE">
          <w:pPr>
            <w:rPr>
              <w:b/>
            </w:rPr>
          </w:pPr>
        </w:p>
        <w:p w:rsidR="00CD53CE" w:rsidRPr="00CD53CE" w:rsidRDefault="00CD53CE" w:rsidP="00422CEC">
          <w:pPr>
            <w:spacing w:line="360" w:lineRule="auto"/>
            <w:rPr>
              <w:b/>
            </w:rPr>
          </w:pPr>
          <w:r w:rsidRPr="00CD53CE">
            <w:rPr>
              <w:b/>
            </w:rPr>
            <w:t>Графични:</w:t>
          </w:r>
        </w:p>
        <w:p w:rsidR="00CD53CE" w:rsidRDefault="00CD53CE" w:rsidP="00422CEC">
          <w:pPr>
            <w:pStyle w:val="ListParagraph"/>
            <w:numPr>
              <w:ilvl w:val="0"/>
              <w:numId w:val="16"/>
            </w:numPr>
            <w:spacing w:line="360" w:lineRule="auto"/>
          </w:pPr>
          <w:r>
            <w:t>Скица с местоположение на проучвателните изработки; М 1: 1 500;</w:t>
          </w:r>
        </w:p>
        <w:p w:rsidR="00422CEC" w:rsidRDefault="00CD53CE" w:rsidP="00422CEC">
          <w:pPr>
            <w:pStyle w:val="ListParagraph"/>
            <w:numPr>
              <w:ilvl w:val="0"/>
              <w:numId w:val="16"/>
            </w:numPr>
            <w:spacing w:line="360" w:lineRule="auto"/>
          </w:pPr>
          <w:r>
            <w:t xml:space="preserve">Напречни профили (чертежи </w:t>
          </w:r>
          <w:r>
            <w:rPr>
              <w:lang w:val="en-US"/>
            </w:rPr>
            <w:t>No</w:t>
          </w:r>
          <w:r w:rsidR="00422CEC">
            <w:rPr>
              <w:lang w:val="en-US"/>
            </w:rPr>
            <w:t>. 2 - 8</w:t>
          </w:r>
          <w:r>
            <w:rPr>
              <w:lang w:val="en-US"/>
            </w:rPr>
            <w:t xml:space="preserve"> </w:t>
          </w:r>
          <w:r>
            <w:t>, М 1:500</w:t>
          </w:r>
          <w:r w:rsidR="00422CEC">
            <w:rPr>
              <w:lang w:val="en-US"/>
            </w:rPr>
            <w:t>.</w:t>
          </w:r>
        </w:p>
        <w:p w:rsidR="00422CEC" w:rsidRPr="00422CEC" w:rsidRDefault="00422CEC" w:rsidP="00422CEC">
          <w:pPr>
            <w:spacing w:line="360" w:lineRule="auto"/>
          </w:pPr>
          <w:r w:rsidRPr="00422CEC">
            <w:rPr>
              <w:b/>
            </w:rPr>
            <w:t>Текстови</w:t>
          </w:r>
          <w:r>
            <w:rPr>
              <w:b/>
            </w:rPr>
            <w:t xml:space="preserve"> - </w:t>
          </w:r>
          <w:r w:rsidRPr="00422CEC">
            <w:t>Колонки ВЕС</w:t>
          </w:r>
        </w:p>
        <w:p w:rsidR="00CD53CE" w:rsidRDefault="00563DA6" w:rsidP="00422CEC"/>
      </w:sdtContent>
    </w:sdt>
    <w:p w:rsidR="00CD53CE" w:rsidRDefault="00563DA6" w:rsidP="00CD53CE">
      <w:pPr>
        <w:jc w:val="both"/>
      </w:pPr>
      <w:r>
        <w:fldChar w:fldCharType="end"/>
      </w:r>
    </w:p>
    <w:p w:rsidR="00CD53CE" w:rsidRDefault="00CD53CE">
      <w:pPr>
        <w:ind w:left="1570" w:hanging="357"/>
        <w:jc w:val="both"/>
      </w:pPr>
      <w:r>
        <w:br w:type="page"/>
      </w:r>
    </w:p>
    <w:p w:rsidR="00CD53CE" w:rsidRDefault="00CD53CE">
      <w:pPr>
        <w:ind w:left="1570" w:hanging="357"/>
        <w:jc w:val="both"/>
        <w:rPr>
          <w:b/>
          <w:bCs/>
          <w:kern w:val="32"/>
          <w:sz w:val="32"/>
          <w:szCs w:val="32"/>
        </w:rPr>
      </w:pPr>
    </w:p>
    <w:p w:rsidR="00CD53CE" w:rsidRDefault="00CD53CE" w:rsidP="00C672FB">
      <w:pPr>
        <w:pStyle w:val="Heading1"/>
        <w:rPr>
          <w:rFonts w:ascii="Times New Roman" w:hAnsi="Times New Roman" w:cs="Times New Roman"/>
        </w:rPr>
      </w:pPr>
    </w:p>
    <w:p w:rsidR="00C672FB" w:rsidRPr="00510026" w:rsidRDefault="00C672FB" w:rsidP="00C672FB">
      <w:pPr>
        <w:pStyle w:val="Heading1"/>
        <w:rPr>
          <w:rFonts w:ascii="Times New Roman" w:hAnsi="Times New Roman" w:cs="Times New Roman"/>
        </w:rPr>
      </w:pPr>
      <w:bookmarkStart w:id="2" w:name="_Toc322524692"/>
      <w:r w:rsidRPr="00510026">
        <w:rPr>
          <w:rFonts w:ascii="Times New Roman" w:hAnsi="Times New Roman" w:cs="Times New Roman"/>
        </w:rPr>
        <w:t>Въведение</w:t>
      </w:r>
      <w:bookmarkEnd w:id="0"/>
      <w:bookmarkEnd w:id="1"/>
      <w:bookmarkEnd w:id="2"/>
    </w:p>
    <w:p w:rsidR="00C672FB" w:rsidRPr="003F243C" w:rsidRDefault="00C672FB" w:rsidP="00C672FB">
      <w:pPr>
        <w:pStyle w:val="Style"/>
        <w:spacing w:line="360" w:lineRule="auto"/>
        <w:ind w:left="11" w:right="11" w:firstLine="556"/>
        <w:rPr>
          <w:color w:val="000000"/>
          <w:lang w:val="bg-BG"/>
        </w:rPr>
      </w:pPr>
      <w:proofErr w:type="spellStart"/>
      <w:r w:rsidRPr="003F243C">
        <w:t>Съгласно</w:t>
      </w:r>
      <w:proofErr w:type="spellEnd"/>
      <w:r w:rsidRPr="003F243C">
        <w:t xml:space="preserve"> </w:t>
      </w:r>
      <w:proofErr w:type="spellStart"/>
      <w:r w:rsidRPr="003F243C">
        <w:t>договор</w:t>
      </w:r>
      <w:proofErr w:type="spellEnd"/>
      <w:r w:rsidRPr="003F243C">
        <w:t xml:space="preserve"> </w:t>
      </w:r>
      <w:proofErr w:type="spellStart"/>
      <w:r w:rsidRPr="003F243C">
        <w:t>сключен</w:t>
      </w:r>
      <w:proofErr w:type="spellEnd"/>
      <w:r w:rsidRPr="003F243C">
        <w:t xml:space="preserve"> </w:t>
      </w:r>
      <w:proofErr w:type="spellStart"/>
      <w:r w:rsidRPr="003F243C">
        <w:t>между</w:t>
      </w:r>
      <w:proofErr w:type="spellEnd"/>
      <w:r w:rsidRPr="003F243C">
        <w:t xml:space="preserve"> </w:t>
      </w:r>
      <w:proofErr w:type="spellStart"/>
      <w:r w:rsidRPr="003F243C">
        <w:t>кмета</w:t>
      </w:r>
      <w:proofErr w:type="spellEnd"/>
      <w:r w:rsidRPr="003F243C">
        <w:t xml:space="preserve"> </w:t>
      </w:r>
      <w:proofErr w:type="spellStart"/>
      <w:r w:rsidRPr="003F243C">
        <w:t>на</w:t>
      </w:r>
      <w:proofErr w:type="spellEnd"/>
      <w:r w:rsidRPr="003F243C">
        <w:t xml:space="preserve"> </w:t>
      </w:r>
      <w:proofErr w:type="spellStart"/>
      <w:r w:rsidRPr="003F243C">
        <w:t>община</w:t>
      </w:r>
      <w:proofErr w:type="spellEnd"/>
      <w:r w:rsidRPr="003F243C">
        <w:t xml:space="preserve"> </w:t>
      </w:r>
      <w:r>
        <w:rPr>
          <w:lang w:val="bg-BG"/>
        </w:rPr>
        <w:t>Нови Пазар и ЕТ „Стенли – консулт”</w:t>
      </w:r>
      <w:r w:rsidRPr="003F243C">
        <w:t xml:space="preserve">, </w:t>
      </w:r>
      <w:proofErr w:type="spellStart"/>
      <w:r w:rsidRPr="003F243C">
        <w:t>за</w:t>
      </w:r>
      <w:proofErr w:type="spellEnd"/>
      <w:r w:rsidRPr="003F243C">
        <w:t xml:space="preserve"> </w:t>
      </w:r>
      <w:proofErr w:type="spellStart"/>
      <w:r w:rsidRPr="003F243C">
        <w:t>проект</w:t>
      </w:r>
      <w:proofErr w:type="spellEnd"/>
      <w:r w:rsidRPr="003F243C">
        <w:t xml:space="preserve"> </w:t>
      </w:r>
      <w:r>
        <w:rPr>
          <w:lang w:val="bg-BG"/>
        </w:rPr>
        <w:t>„Закриване и рекултивация на общинско депо за твърди битови отпадъци, генерирани на територията на община Нови Пазар”,</w:t>
      </w:r>
      <w:r w:rsidRPr="003F243C">
        <w:t xml:space="preserve"> </w:t>
      </w:r>
      <w:proofErr w:type="spellStart"/>
      <w:r w:rsidRPr="003F243C">
        <w:t>бе</w:t>
      </w:r>
      <w:proofErr w:type="spellEnd"/>
      <w:r w:rsidRPr="003F243C">
        <w:t xml:space="preserve"> </w:t>
      </w:r>
      <w:r w:rsidRPr="003F243C">
        <w:rPr>
          <w:lang w:val="bg-BG"/>
        </w:rPr>
        <w:t xml:space="preserve">изпълнено </w:t>
      </w:r>
      <w:proofErr w:type="spellStart"/>
      <w:r w:rsidRPr="003F243C">
        <w:t>инженерно-геоложко</w:t>
      </w:r>
      <w:proofErr w:type="spellEnd"/>
      <w:r w:rsidRPr="003F243C">
        <w:t xml:space="preserve"> </w:t>
      </w:r>
      <w:proofErr w:type="spellStart"/>
      <w:r w:rsidRPr="003F243C">
        <w:t>проучване</w:t>
      </w:r>
      <w:proofErr w:type="spellEnd"/>
      <w:r>
        <w:rPr>
          <w:lang w:val="bg-BG"/>
        </w:rPr>
        <w:t>.</w:t>
      </w:r>
    </w:p>
    <w:p w:rsidR="00C672FB" w:rsidRPr="003F243C" w:rsidRDefault="00C672FB" w:rsidP="00C672FB">
      <w:pPr>
        <w:pStyle w:val="Style"/>
        <w:spacing w:line="360" w:lineRule="auto"/>
        <w:ind w:left="11" w:right="11" w:firstLine="556"/>
        <w:rPr>
          <w:color w:val="000000"/>
          <w:lang w:val="bg-BG"/>
        </w:rPr>
      </w:pPr>
      <w:r w:rsidRPr="003F243C">
        <w:rPr>
          <w:color w:val="000000"/>
          <w:lang w:val="bg-BG"/>
        </w:rPr>
        <w:t>Проучването е изпълнено на етап „</w:t>
      </w:r>
      <w:r>
        <w:rPr>
          <w:lang w:val="bg-BG"/>
        </w:rPr>
        <w:t>ПРЕДПРОЕКТНИ ПРОУЧВАНИЯ</w:t>
      </w:r>
      <w:r w:rsidRPr="003F243C">
        <w:rPr>
          <w:lang w:val="bg-BG"/>
        </w:rPr>
        <w:t>” на база на архивни литературни източници, геоложка картировка</w:t>
      </w:r>
      <w:r>
        <w:rPr>
          <w:lang w:val="bg-BG"/>
        </w:rPr>
        <w:t>,</w:t>
      </w:r>
      <w:r w:rsidRPr="003F243C">
        <w:rPr>
          <w:lang w:val="bg-BG"/>
        </w:rPr>
        <w:t xml:space="preserve"> оглед на терена</w:t>
      </w:r>
      <w:r>
        <w:rPr>
          <w:lang w:val="bg-BG"/>
        </w:rPr>
        <w:t>, 17 бр. вертикални електро-сондажи (ВЕС).</w:t>
      </w:r>
    </w:p>
    <w:p w:rsidR="00C672FB" w:rsidRPr="003F243C" w:rsidRDefault="00C672FB" w:rsidP="00C672FB">
      <w:pPr>
        <w:pStyle w:val="BodyTextIndent"/>
      </w:pPr>
      <w:r w:rsidRPr="003F243C">
        <w:t>Задачите на това проучване са следните:</w:t>
      </w:r>
    </w:p>
    <w:p w:rsidR="00C672FB" w:rsidRPr="003F243C" w:rsidRDefault="00C672FB" w:rsidP="00C672FB">
      <w:pPr>
        <w:pStyle w:val="BodyTextIndent"/>
        <w:numPr>
          <w:ilvl w:val="0"/>
          <w:numId w:val="1"/>
        </w:numPr>
        <w:spacing w:after="0" w:line="360" w:lineRule="auto"/>
        <w:jc w:val="both"/>
        <w:rPr>
          <w:lang w:val="ru-RU"/>
        </w:rPr>
      </w:pPr>
      <w:r w:rsidRPr="003F243C">
        <w:t>да установи геолого-литоложкия строеж на земната основа,</w:t>
      </w:r>
    </w:p>
    <w:p w:rsidR="00C672FB" w:rsidRPr="003F243C" w:rsidRDefault="00C672FB" w:rsidP="00C672FB">
      <w:pPr>
        <w:pStyle w:val="BodyTextIndent"/>
        <w:numPr>
          <w:ilvl w:val="0"/>
          <w:numId w:val="1"/>
        </w:numPr>
        <w:spacing w:after="0" w:line="360" w:lineRule="auto"/>
        <w:jc w:val="both"/>
        <w:rPr>
          <w:lang w:val="en-US"/>
        </w:rPr>
      </w:pPr>
      <w:r w:rsidRPr="003F243C">
        <w:t>наличието на подземни води;</w:t>
      </w:r>
    </w:p>
    <w:p w:rsidR="00C672FB" w:rsidRPr="003F243C" w:rsidRDefault="00C672FB" w:rsidP="00C672FB">
      <w:pPr>
        <w:pStyle w:val="BodyTextIndent"/>
        <w:numPr>
          <w:ilvl w:val="0"/>
          <w:numId w:val="1"/>
        </w:numPr>
        <w:spacing w:after="0" w:line="360" w:lineRule="auto"/>
        <w:jc w:val="both"/>
        <w:rPr>
          <w:lang w:val="ru-RU"/>
        </w:rPr>
      </w:pPr>
      <w:r w:rsidRPr="003F243C">
        <w:t>опасни физико-геоложки явления и процеси, които биха затруднили проектираното строителство.</w:t>
      </w:r>
    </w:p>
    <w:p w:rsidR="00C672FB" w:rsidRPr="003F243C" w:rsidRDefault="00C672FB" w:rsidP="00C672FB">
      <w:pPr>
        <w:spacing w:line="360" w:lineRule="auto"/>
        <w:ind w:firstLine="360"/>
        <w:jc w:val="both"/>
      </w:pPr>
      <w:r w:rsidRPr="003F243C">
        <w:t xml:space="preserve">Полевите работи са извършени през месец </w:t>
      </w:r>
      <w:r>
        <w:rPr>
          <w:color w:val="000000"/>
        </w:rPr>
        <w:t>април</w:t>
      </w:r>
      <w:r w:rsidRPr="003F243C">
        <w:rPr>
          <w:color w:val="000000"/>
        </w:rPr>
        <w:t>,</w:t>
      </w:r>
      <w:r w:rsidRPr="003F243C">
        <w:t xml:space="preserve"> 201</w:t>
      </w:r>
      <w:r>
        <w:t>2</w:t>
      </w:r>
      <w:r w:rsidRPr="003F243C">
        <w:t xml:space="preserve"> г., под ръководството на инж. Иля Стоянов.</w:t>
      </w:r>
    </w:p>
    <w:p w:rsidR="00C672FB" w:rsidRDefault="00C672FB" w:rsidP="00C672FB">
      <w:pPr>
        <w:spacing w:line="360" w:lineRule="auto"/>
        <w:ind w:firstLine="360"/>
        <w:jc w:val="both"/>
      </w:pPr>
      <w:r w:rsidRPr="003F243C">
        <w:t xml:space="preserve">Камералната обработка на материалите е извършена от инж. Иля Стоянов и инж. Захари Коровски. </w:t>
      </w:r>
    </w:p>
    <w:p w:rsidR="00C672FB" w:rsidRPr="00510026" w:rsidRDefault="00C672FB" w:rsidP="00C672FB">
      <w:pPr>
        <w:pStyle w:val="Heading1"/>
        <w:rPr>
          <w:rFonts w:ascii="Times New Roman" w:hAnsi="Times New Roman" w:cs="Times New Roman"/>
          <w:szCs w:val="24"/>
        </w:rPr>
      </w:pPr>
      <w:bookmarkStart w:id="3" w:name="_Toc296416800"/>
      <w:bookmarkStart w:id="4" w:name="_Toc322524693"/>
      <w:bookmarkStart w:id="5" w:name="_Toc523651071"/>
      <w:bookmarkStart w:id="6" w:name="_Toc523651726"/>
      <w:bookmarkStart w:id="7" w:name="_Toc523651824"/>
      <w:bookmarkStart w:id="8" w:name="_Toc523912161"/>
      <w:bookmarkStart w:id="9" w:name="_Toc524771446"/>
      <w:bookmarkStart w:id="10" w:name="_Toc90545636"/>
      <w:bookmarkStart w:id="11" w:name="_Toc90712850"/>
      <w:bookmarkStart w:id="12" w:name="_Toc106426588"/>
      <w:bookmarkStart w:id="13" w:name="_Toc106947058"/>
      <w:bookmarkStart w:id="14" w:name="_Toc106947126"/>
      <w:bookmarkStart w:id="15" w:name="_Toc106947277"/>
      <w:bookmarkStart w:id="16" w:name="_Toc185411710"/>
      <w:bookmarkStart w:id="17" w:name="_Toc288471888"/>
      <w:r w:rsidRPr="00510026">
        <w:rPr>
          <w:rFonts w:ascii="Times New Roman" w:hAnsi="Times New Roman" w:cs="Times New Roman"/>
          <w:szCs w:val="24"/>
        </w:rPr>
        <w:t>1.Обща част</w:t>
      </w:r>
      <w:bookmarkEnd w:id="3"/>
      <w:bookmarkEnd w:id="4"/>
    </w:p>
    <w:p w:rsidR="00C672FB" w:rsidRPr="000A2A88" w:rsidRDefault="00C672FB" w:rsidP="00C672FB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18" w:name="_Toc296416801"/>
      <w:bookmarkStart w:id="19" w:name="_Toc322524694"/>
      <w:r w:rsidRPr="000A2A88">
        <w:rPr>
          <w:rFonts w:ascii="Times New Roman" w:hAnsi="Times New Roman" w:cs="Times New Roman"/>
          <w:sz w:val="24"/>
          <w:szCs w:val="24"/>
        </w:rPr>
        <w:t>1.1. Местоположение на обекта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C672FB" w:rsidRPr="003F243C" w:rsidRDefault="00C672FB" w:rsidP="00C672FB">
      <w:pPr>
        <w:spacing w:line="360" w:lineRule="auto"/>
        <w:ind w:firstLine="720"/>
        <w:jc w:val="both"/>
        <w:rPr>
          <w:b/>
          <w:i/>
          <w:color w:val="000000"/>
        </w:rPr>
      </w:pPr>
      <w:r w:rsidRPr="003F243C">
        <w:t xml:space="preserve">Проучвания обект се </w:t>
      </w:r>
      <w:r w:rsidRPr="003F243C">
        <w:rPr>
          <w:color w:val="000000"/>
        </w:rPr>
        <w:t xml:space="preserve">намира </w:t>
      </w:r>
      <w:r>
        <w:rPr>
          <w:color w:val="000000"/>
        </w:rPr>
        <w:t>на територията на</w:t>
      </w:r>
      <w:r w:rsidRPr="003F243C">
        <w:rPr>
          <w:color w:val="000000"/>
        </w:rPr>
        <w:t xml:space="preserve"> </w:t>
      </w:r>
      <w:r>
        <w:rPr>
          <w:color w:val="000000"/>
        </w:rPr>
        <w:t>об. Нови пазар</w:t>
      </w:r>
      <w:r w:rsidRPr="003F243C">
        <w:t>.</w:t>
      </w:r>
    </w:p>
    <w:p w:rsidR="00C672FB" w:rsidRPr="003F243C" w:rsidRDefault="00C672FB" w:rsidP="00C672FB">
      <w:pPr>
        <w:spacing w:line="360" w:lineRule="auto"/>
        <w:ind w:firstLine="720"/>
        <w:jc w:val="both"/>
        <w:rPr>
          <w:b/>
        </w:rPr>
      </w:pPr>
      <w:r w:rsidRPr="003F243C">
        <w:t xml:space="preserve">Площадката на </w:t>
      </w:r>
      <w:r>
        <w:t xml:space="preserve">депото </w:t>
      </w:r>
      <w:r w:rsidR="00037989">
        <w:rPr>
          <w:lang w:val="en-US"/>
        </w:rPr>
        <w:t>e</w:t>
      </w:r>
      <w:r w:rsidRPr="003F243C">
        <w:t xml:space="preserve"> на </w:t>
      </w:r>
      <w:r>
        <w:t xml:space="preserve">около 1,5 </w:t>
      </w:r>
      <w:r>
        <w:rPr>
          <w:lang w:val="en-US"/>
        </w:rPr>
        <w:t>km</w:t>
      </w:r>
      <w:r>
        <w:t xml:space="preserve"> южно </w:t>
      </w:r>
      <w:r w:rsidRPr="003F243C">
        <w:t>от</w:t>
      </w:r>
      <w:r>
        <w:t xml:space="preserve"> града в посока</w:t>
      </w:r>
      <w:r w:rsidR="00037989">
        <w:t xml:space="preserve"> </w:t>
      </w:r>
      <w:r w:rsidRPr="003F243C">
        <w:t>магистрала</w:t>
      </w:r>
      <w:r>
        <w:t xml:space="preserve"> Шумен Варна.</w:t>
      </w:r>
      <w:r w:rsidR="00054106">
        <w:t xml:space="preserve"> </w:t>
      </w:r>
      <w:r>
        <w:t xml:space="preserve">Площадката на депото е с </w:t>
      </w:r>
      <w:r w:rsidR="00037989">
        <w:t>приблизителна площ 3</w:t>
      </w:r>
      <w:r w:rsidR="00054106">
        <w:t>5</w:t>
      </w:r>
      <w:r w:rsidR="00037989">
        <w:t xml:space="preserve"> 000 </w:t>
      </w:r>
      <w:r w:rsidR="00037989">
        <w:rPr>
          <w:lang w:val="en-US"/>
        </w:rPr>
        <w:t>m</w:t>
      </w:r>
      <w:r w:rsidR="00037989">
        <w:rPr>
          <w:vertAlign w:val="superscript"/>
        </w:rPr>
        <w:t>2</w:t>
      </w:r>
      <w:r w:rsidRPr="003F243C">
        <w:t>.</w:t>
      </w:r>
    </w:p>
    <w:p w:rsidR="00C672FB" w:rsidRPr="000A2A88" w:rsidRDefault="00C672FB" w:rsidP="00C672FB">
      <w:pPr>
        <w:pStyle w:val="Heading2"/>
        <w:rPr>
          <w:rFonts w:ascii="Times New Roman" w:hAnsi="Times New Roman"/>
          <w:sz w:val="24"/>
        </w:rPr>
      </w:pPr>
      <w:bookmarkStart w:id="20" w:name="_Toc288471889"/>
      <w:bookmarkStart w:id="21" w:name="_Toc296416802"/>
      <w:bookmarkStart w:id="22" w:name="_Toc322524695"/>
      <w:r w:rsidRPr="000A2A88">
        <w:rPr>
          <w:rFonts w:ascii="Times New Roman" w:hAnsi="Times New Roman"/>
          <w:sz w:val="24"/>
        </w:rPr>
        <w:t>1.2. Геоморфоложка характеристика</w:t>
      </w:r>
      <w:bookmarkEnd w:id="20"/>
      <w:bookmarkEnd w:id="21"/>
      <w:bookmarkEnd w:id="22"/>
      <w:r w:rsidRPr="000A2A88">
        <w:rPr>
          <w:rFonts w:ascii="Times New Roman" w:hAnsi="Times New Roman"/>
          <w:sz w:val="24"/>
        </w:rPr>
        <w:t xml:space="preserve"> </w:t>
      </w:r>
    </w:p>
    <w:p w:rsidR="00403A84" w:rsidRPr="003F243C" w:rsidRDefault="00037989" w:rsidP="00A50BFA">
      <w:pPr>
        <w:spacing w:line="360" w:lineRule="auto"/>
        <w:ind w:firstLine="567"/>
        <w:jc w:val="both"/>
      </w:pPr>
      <w:r>
        <w:t xml:space="preserve">В геоморфоложко отношение </w:t>
      </w:r>
      <w:r w:rsidRPr="003F243C">
        <w:t xml:space="preserve">районът </w:t>
      </w:r>
      <w:r w:rsidR="00C672FB" w:rsidRPr="003F243C">
        <w:t xml:space="preserve">на </w:t>
      </w:r>
      <w:r>
        <w:t>площадката предствлява полегат склон, с наклон 35 – 40</w:t>
      </w:r>
      <w:r>
        <w:rPr>
          <w:vertAlign w:val="superscript"/>
        </w:rPr>
        <w:t>о</w:t>
      </w:r>
      <w:r w:rsidR="00403A84">
        <w:t xml:space="preserve">, ориентиран в посока изток. Склонът се явява десен бряг на </w:t>
      </w:r>
      <w:r w:rsidR="00054106">
        <w:t>р</w:t>
      </w:r>
      <w:r w:rsidR="00403A84">
        <w:t>. Крива река.</w:t>
      </w:r>
    </w:p>
    <w:p w:rsidR="00C672FB" w:rsidRPr="00A50BFA" w:rsidRDefault="00403A84" w:rsidP="00A50BFA">
      <w:pPr>
        <w:spacing w:line="360" w:lineRule="auto"/>
        <w:ind w:firstLine="567"/>
        <w:jc w:val="both"/>
        <w:rPr>
          <w:lang w:val="en-US"/>
        </w:rPr>
      </w:pPr>
      <w:r>
        <w:t xml:space="preserve">Районът на депото </w:t>
      </w:r>
      <w:r w:rsidR="00A50BFA">
        <w:t>за твърди битови отпадъци е със срена надморска височина 110</w:t>
      </w:r>
      <w:r w:rsidR="00A50BFA">
        <w:rPr>
          <w:lang w:val="en-US"/>
        </w:rPr>
        <w:t xml:space="preserve"> m.</w:t>
      </w:r>
    </w:p>
    <w:p w:rsidR="00C672FB" w:rsidRPr="000A2A88" w:rsidRDefault="00C672FB" w:rsidP="00C672FB">
      <w:pPr>
        <w:pStyle w:val="Heading2"/>
        <w:rPr>
          <w:rFonts w:ascii="Times New Roman" w:hAnsi="Times New Roman"/>
          <w:sz w:val="24"/>
        </w:rPr>
      </w:pPr>
      <w:bookmarkStart w:id="23" w:name="_Toc288471890"/>
      <w:bookmarkStart w:id="24" w:name="_Toc296416803"/>
      <w:bookmarkStart w:id="25" w:name="_Toc322524696"/>
      <w:r w:rsidRPr="000A2A88">
        <w:rPr>
          <w:rFonts w:ascii="Times New Roman" w:hAnsi="Times New Roman"/>
          <w:sz w:val="24"/>
        </w:rPr>
        <w:lastRenderedPageBreak/>
        <w:t>1.3. Геоложка характеристика</w:t>
      </w:r>
      <w:bookmarkEnd w:id="23"/>
      <w:bookmarkEnd w:id="24"/>
      <w:bookmarkEnd w:id="25"/>
    </w:p>
    <w:p w:rsidR="00C672FB" w:rsidRPr="003E1F26" w:rsidRDefault="00C672FB" w:rsidP="00C672FB">
      <w:pPr>
        <w:spacing w:line="360" w:lineRule="auto"/>
        <w:jc w:val="both"/>
        <w:rPr>
          <w:i/>
        </w:rPr>
      </w:pPr>
      <w:r w:rsidRPr="003F243C">
        <w:tab/>
      </w:r>
      <w:r w:rsidRPr="003E1F26">
        <w:rPr>
          <w:i/>
        </w:rPr>
        <w:t>Стратиграфия</w:t>
      </w:r>
    </w:p>
    <w:p w:rsidR="00C672FB" w:rsidRDefault="00A50BFA" w:rsidP="00C672FB">
      <w:pPr>
        <w:spacing w:line="360" w:lineRule="auto"/>
        <w:ind w:firstLine="708"/>
        <w:jc w:val="both"/>
      </w:pPr>
      <w:r>
        <w:t>На повърхността областта е изградена от скали с долно-кредна възраст, представени от 5 литостратиграфски единици. Следващите нагоре скали са тези от неогенската система, развита на ограничена площ и представена от три литосратиграфски единици, развити в ограничена площ. Кватернерните образувания имат заначително площно разпространение и са застъпени с няколко генетични типа.</w:t>
      </w:r>
    </w:p>
    <w:p w:rsidR="00A50BFA" w:rsidRDefault="002C47A3" w:rsidP="00C672FB">
      <w:pPr>
        <w:spacing w:line="360" w:lineRule="auto"/>
        <w:ind w:firstLine="708"/>
        <w:jc w:val="both"/>
      </w:pPr>
      <w:r>
        <w:t>В дълбочина са установени още 7 литостратиграфскиединици, като две от тях са девонската система, четири с юрската и една с юрско-кредната система.</w:t>
      </w:r>
    </w:p>
    <w:p w:rsidR="002C47A3" w:rsidRPr="00F4661B" w:rsidRDefault="00F4661B" w:rsidP="00C672FB">
      <w:pPr>
        <w:spacing w:line="360" w:lineRule="auto"/>
        <w:ind w:firstLine="708"/>
        <w:jc w:val="both"/>
      </w:pPr>
      <w:r>
        <w:t xml:space="preserve">В районът на площадката се разкриват </w:t>
      </w:r>
      <w:r w:rsidR="00E669AC">
        <w:t>основно кватернерни седименти представени от глинести чакъли, льосовидни глини и почвен слой.</w:t>
      </w:r>
    </w:p>
    <w:p w:rsidR="00C672FB" w:rsidRPr="003E1F26" w:rsidRDefault="00C672FB" w:rsidP="00C672FB">
      <w:pPr>
        <w:spacing w:line="360" w:lineRule="auto"/>
        <w:ind w:firstLine="708"/>
        <w:jc w:val="both"/>
        <w:rPr>
          <w:i/>
        </w:rPr>
      </w:pPr>
      <w:r w:rsidRPr="003E1F26">
        <w:rPr>
          <w:i/>
        </w:rPr>
        <w:t>Тектоника</w:t>
      </w:r>
    </w:p>
    <w:p w:rsidR="003017BA" w:rsidRDefault="00E669AC" w:rsidP="00E669AC">
      <w:pPr>
        <w:spacing w:line="360" w:lineRule="auto"/>
        <w:jc w:val="both"/>
      </w:pPr>
      <w:r>
        <w:tab/>
        <w:t>В проучваният район, намиращ се в обхвата на Мизийската платформа, се включва част от Северобългарското сводово издигане. От развитите структури от по-нисък порядък, в</w:t>
      </w:r>
      <w:r w:rsidR="00B35F32">
        <w:t xml:space="preserve"> </w:t>
      </w:r>
      <w:r>
        <w:t xml:space="preserve">границите на </w:t>
      </w:r>
      <w:r w:rsidR="00B35F32">
        <w:t>района попадът Никола Козлевската, Калоянската, Кракренската и Бенковската структура.</w:t>
      </w:r>
    </w:p>
    <w:p w:rsidR="00B35F32" w:rsidRPr="00510026" w:rsidRDefault="00B35F32" w:rsidP="00B35F32">
      <w:pPr>
        <w:pStyle w:val="Heading1"/>
        <w:jc w:val="both"/>
        <w:rPr>
          <w:rFonts w:ascii="Times New Roman" w:hAnsi="Times New Roman"/>
          <w:bCs w:val="0"/>
          <w:sz w:val="24"/>
          <w:szCs w:val="24"/>
        </w:rPr>
      </w:pPr>
      <w:bookmarkStart w:id="26" w:name="_Toc296416804"/>
      <w:bookmarkStart w:id="27" w:name="_Toc322524697"/>
      <w:bookmarkStart w:id="28" w:name="_Toc524771455"/>
      <w:bookmarkStart w:id="29" w:name="_Toc90545640"/>
      <w:bookmarkStart w:id="30" w:name="_Toc90712854"/>
      <w:bookmarkStart w:id="31" w:name="_Toc106426592"/>
      <w:bookmarkStart w:id="32" w:name="_Toc106947062"/>
      <w:bookmarkStart w:id="33" w:name="_Toc106947130"/>
      <w:bookmarkStart w:id="34" w:name="_Toc106947281"/>
      <w:bookmarkStart w:id="35" w:name="_Toc185411714"/>
      <w:bookmarkStart w:id="36" w:name="_Toc288471891"/>
      <w:r w:rsidRPr="00510026">
        <w:rPr>
          <w:rFonts w:ascii="Times New Roman" w:hAnsi="Times New Roman"/>
          <w:bCs w:val="0"/>
          <w:sz w:val="24"/>
          <w:szCs w:val="24"/>
        </w:rPr>
        <w:t>2.Специална част</w:t>
      </w:r>
      <w:bookmarkEnd w:id="26"/>
      <w:bookmarkEnd w:id="27"/>
    </w:p>
    <w:p w:rsidR="00B35F32" w:rsidRDefault="00B35F32" w:rsidP="00B35F32">
      <w:pPr>
        <w:pStyle w:val="Heading2"/>
        <w:rPr>
          <w:rFonts w:ascii="Times New Roman" w:hAnsi="Times New Roman"/>
          <w:sz w:val="24"/>
        </w:rPr>
      </w:pPr>
      <w:bookmarkStart w:id="37" w:name="_Toc296416805"/>
      <w:bookmarkStart w:id="38" w:name="_Toc322524698"/>
      <w:r w:rsidRPr="000A2A88">
        <w:rPr>
          <w:rFonts w:ascii="Times New Roman" w:hAnsi="Times New Roman"/>
          <w:sz w:val="24"/>
        </w:rPr>
        <w:t>2.1. Методика на проучването</w:t>
      </w:r>
      <w:bookmarkEnd w:id="37"/>
      <w:bookmarkEnd w:id="38"/>
    </w:p>
    <w:p w:rsidR="00B35F32" w:rsidRPr="003F243C" w:rsidRDefault="00B35F32" w:rsidP="00B35F32">
      <w:pPr>
        <w:pStyle w:val="Style"/>
        <w:spacing w:line="360" w:lineRule="auto"/>
        <w:ind w:left="11" w:right="11" w:firstLine="698"/>
        <w:rPr>
          <w:color w:val="000000"/>
          <w:lang w:val="bg-BG"/>
        </w:rPr>
      </w:pPr>
      <w:r w:rsidRPr="003F243C">
        <w:rPr>
          <w:color w:val="000000"/>
          <w:lang w:val="bg-BG"/>
        </w:rPr>
        <w:t>Проучването е изпълнено на етап „</w:t>
      </w:r>
      <w:r>
        <w:rPr>
          <w:lang w:val="bg-BG"/>
        </w:rPr>
        <w:t>ПРЕДПРОЕКТНИ ПРОУЧВАНИЯ</w:t>
      </w:r>
      <w:r w:rsidRPr="003F243C">
        <w:rPr>
          <w:lang w:val="bg-BG"/>
        </w:rPr>
        <w:t>” на база на архивни литературни източници, геоложка картировка</w:t>
      </w:r>
      <w:r>
        <w:rPr>
          <w:lang w:val="bg-BG"/>
        </w:rPr>
        <w:t>,</w:t>
      </w:r>
      <w:r w:rsidRPr="003F243C">
        <w:rPr>
          <w:lang w:val="bg-BG"/>
        </w:rPr>
        <w:t xml:space="preserve"> оглед на терена</w:t>
      </w:r>
      <w:r>
        <w:rPr>
          <w:lang w:val="bg-BG"/>
        </w:rPr>
        <w:t>, вертикални електро-сондажи (ВЕС).</w:t>
      </w:r>
    </w:p>
    <w:p w:rsidR="00B35F32" w:rsidRDefault="00B35F32" w:rsidP="00B35F32">
      <w:pPr>
        <w:spacing w:line="360" w:lineRule="auto"/>
        <w:ind w:firstLine="720"/>
        <w:jc w:val="both"/>
      </w:pPr>
      <w:r>
        <w:t xml:space="preserve">Вертикалното електросондиране (ВЕС) е електросъпротивителен метод, при който от повърхността на земята се измерва привидното електрическо съпротивление на пластовете. Измерванията се извършват със симетрична схема АМNB. Електродите А и В са включени в захранващата верига на схемата, в която се регистрира величината на пропускания през земята ток. Електродите M и N са приемни и между тях се измерва потенциалната разлика </w:t>
      </w:r>
      <w:r>
        <w:sym w:font="Symbol" w:char="F044"/>
      </w:r>
      <w:r>
        <w:t xml:space="preserve">U, предизвикана от електрическото поле, създадено от протичащия в земните пластове ток. Електродите са разположени симетрично спрямо точка О, към която се отнасят измерванията. При увеличение на разстоянието между електродите А и В се увеличава дълбочината на разпространение на създаваното електрическо поле, а от там и дълбочината, от която се получава информация. Правят се </w:t>
      </w:r>
      <w:r>
        <w:lastRenderedPageBreak/>
        <w:t>редица измервания с последователно изменящо се разстояние А В. От получените данни се изчислява привидното електрическо съпротивление:</w:t>
      </w:r>
    </w:p>
    <w:p w:rsidR="00B35F32" w:rsidRDefault="00B35F32" w:rsidP="00B35F32">
      <w:pPr>
        <w:spacing w:line="360" w:lineRule="auto"/>
        <w:ind w:firstLine="720"/>
        <w:jc w:val="both"/>
      </w:pPr>
      <w:r w:rsidRPr="00563DA6">
        <w:rPr>
          <w:position w:val="-20"/>
        </w:rPr>
        <w:object w:dxaOrig="10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29.2pt" o:ole="">
            <v:imagedata r:id="rId8" o:title=""/>
          </v:shape>
          <o:OLEObject Type="Embed" ProgID="Equation.3" ShapeID="_x0000_i1025" DrawAspect="Content" ObjectID="_1396341047" r:id="rId9"/>
        </w:object>
      </w:r>
      <w:r>
        <w:t xml:space="preserve"> в Ώm, </w:t>
      </w:r>
    </w:p>
    <w:p w:rsidR="00B35F32" w:rsidRDefault="00B35F32" w:rsidP="00B35F32">
      <w:pPr>
        <w:spacing w:line="360" w:lineRule="auto"/>
        <w:ind w:firstLine="720"/>
        <w:jc w:val="both"/>
      </w:pPr>
      <w:r>
        <w:t>където К е коефициент, който зависи от разстоянията между електродите А, М, N и В.</w:t>
      </w:r>
    </w:p>
    <w:p w:rsidR="00B35F32" w:rsidRDefault="00B35F32" w:rsidP="00B35F32">
      <w:pPr>
        <w:spacing w:line="360" w:lineRule="auto"/>
        <w:ind w:firstLine="720"/>
        <w:jc w:val="both"/>
      </w:pPr>
      <w:r>
        <w:t>Крива ВЕС се нарича графичното изображение в двойно логаритмичен мащаб на функцията:</w:t>
      </w:r>
    </w:p>
    <w:p w:rsidR="00B35F32" w:rsidRDefault="00B35F32" w:rsidP="00B35F32">
      <w:pPr>
        <w:spacing w:line="360" w:lineRule="auto"/>
        <w:ind w:firstLine="720"/>
        <w:jc w:val="both"/>
      </w:pPr>
      <w:r w:rsidRPr="00563DA6">
        <w:rPr>
          <w:position w:val="-24"/>
        </w:rPr>
        <w:object w:dxaOrig="1160" w:dyaOrig="639">
          <v:shape id="_x0000_i1026" type="#_x0000_t75" style="width:57.75pt;height:31.9pt" o:ole="">
            <v:imagedata r:id="rId10" o:title=""/>
          </v:shape>
          <o:OLEObject Type="Embed" ProgID="Equation.3" ShapeID="_x0000_i1026" DrawAspect="Content" ObjectID="_1396341048" r:id="rId11"/>
        </w:object>
      </w:r>
    </w:p>
    <w:p w:rsidR="00B35F32" w:rsidRDefault="00B35F32" w:rsidP="00B35F32">
      <w:pPr>
        <w:spacing w:line="360" w:lineRule="auto"/>
        <w:ind w:firstLine="720"/>
        <w:jc w:val="both"/>
      </w:pPr>
      <w:r>
        <w:t>Чрез обработка на кривите по стандартна методика, се определя специфичното електрическо съпротивление на слоевете и дълбочините до границите между тях.</w:t>
      </w:r>
    </w:p>
    <w:p w:rsidR="00B35F32" w:rsidRDefault="00B35F32" w:rsidP="00B35F32">
      <w:pPr>
        <w:spacing w:line="360" w:lineRule="auto"/>
        <w:ind w:firstLine="720"/>
        <w:jc w:val="both"/>
      </w:pPr>
      <w:r>
        <w:t xml:space="preserve">Интерпретацията на данните се състои в геоложката идентификация на отделените по геофизичен път слоеве с помощта на прокараните проучвателни сондажи. </w:t>
      </w:r>
    </w:p>
    <w:p w:rsidR="00B35F32" w:rsidRDefault="00B35F32" w:rsidP="00B35F32">
      <w:pPr>
        <w:spacing w:line="360" w:lineRule="auto"/>
        <w:ind w:firstLine="720"/>
        <w:jc w:val="both"/>
      </w:pPr>
      <w:r>
        <w:t>Измерванията са извършени при максимално разстояние 32,0 m между електродите А и В, при малка стъпка на нарастване, което дава по-голяма детайлност на добитата информация.</w:t>
      </w:r>
    </w:p>
    <w:p w:rsidR="00B35F32" w:rsidRDefault="00B35F32" w:rsidP="00B35F32">
      <w:pPr>
        <w:pStyle w:val="Heading2"/>
        <w:rPr>
          <w:rFonts w:ascii="Times New Roman" w:hAnsi="Times New Roman"/>
          <w:sz w:val="24"/>
        </w:rPr>
      </w:pPr>
      <w:bookmarkStart w:id="39" w:name="_Toc296416806"/>
      <w:bookmarkStart w:id="40" w:name="_Toc322524699"/>
      <w:r w:rsidRPr="002C0325">
        <w:rPr>
          <w:rFonts w:ascii="Times New Roman" w:hAnsi="Times New Roman"/>
          <w:sz w:val="24"/>
        </w:rPr>
        <w:t>2.2. Обем на проучвателните работи</w:t>
      </w:r>
      <w:bookmarkEnd w:id="39"/>
      <w:bookmarkEnd w:id="40"/>
    </w:p>
    <w:p w:rsidR="00B35F32" w:rsidRPr="00780B3A" w:rsidRDefault="00B35F32" w:rsidP="00B35F32">
      <w:pPr>
        <w:pStyle w:val="Normale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t xml:space="preserve">В проучвания участък за отделяне на геолого-литоложките разновидности за проектиране и </w:t>
      </w:r>
      <w:r w:rsidRPr="00B35F32">
        <w:rPr>
          <w:rFonts w:ascii="Times New Roman" w:hAnsi="Times New Roman"/>
        </w:rPr>
        <w:t>рекултивация на депото за твърди битови отпад</w:t>
      </w:r>
      <w:r>
        <w:rPr>
          <w:rFonts w:ascii="Times New Roman" w:hAnsi="Times New Roman"/>
        </w:rPr>
        <w:t>ъ</w:t>
      </w:r>
      <w:r w:rsidRPr="00B35F32">
        <w:rPr>
          <w:rFonts w:ascii="Times New Roman" w:hAnsi="Times New Roman"/>
        </w:rPr>
        <w:t>ци</w:t>
      </w:r>
      <w:r>
        <w:t xml:space="preserve">, бяха направени измервания по метода ВЕС в </w:t>
      </w:r>
      <w:r w:rsidRPr="00B35F32">
        <w:rPr>
          <w:rFonts w:ascii="Times New Roman" w:hAnsi="Times New Roman"/>
        </w:rPr>
        <w:t>17</w:t>
      </w:r>
      <w:r>
        <w:t xml:space="preserve"> точки – показани на ситуацията (графично приложение 1). </w:t>
      </w:r>
      <w:r w:rsidRPr="00780B3A">
        <w:rPr>
          <w:rFonts w:ascii="Times New Roman" w:hAnsi="Times New Roman"/>
        </w:rPr>
        <w:t>На база ВЕС, са изпълнени 7 бр. напречни профила</w:t>
      </w:r>
      <w:r w:rsidR="00780B3A" w:rsidRPr="00780B3A">
        <w:rPr>
          <w:rFonts w:ascii="Times New Roman" w:hAnsi="Times New Roman"/>
        </w:rPr>
        <w:t xml:space="preserve"> на депото, показващи разположението в дълбочина на отделните литоложки разновидности.</w:t>
      </w:r>
      <w:r w:rsidRPr="00780B3A">
        <w:rPr>
          <w:rFonts w:ascii="Times New Roman" w:hAnsi="Times New Roman"/>
        </w:rPr>
        <w:t>.</w:t>
      </w:r>
    </w:p>
    <w:p w:rsidR="00B35F32" w:rsidRDefault="00B35F32" w:rsidP="00B35F32">
      <w:pPr>
        <w:pStyle w:val="Normale"/>
        <w:spacing w:after="0" w:line="360" w:lineRule="auto"/>
        <w:jc w:val="both"/>
      </w:pPr>
      <w:r>
        <w:rPr>
          <w:rFonts w:ascii="Times New Roman" w:hAnsi="Times New Roman"/>
        </w:rPr>
        <w:tab/>
      </w:r>
      <w:r>
        <w:t xml:space="preserve">Резултатите от ВЕС са показани в табличен вид в прилижение </w:t>
      </w:r>
      <w:r>
        <w:rPr>
          <w:rFonts w:asciiTheme="minorHAnsi" w:hAnsiTheme="minorHAnsi"/>
        </w:rPr>
        <w:t>2</w:t>
      </w:r>
      <w:r>
        <w:t xml:space="preserve">. </w:t>
      </w:r>
    </w:p>
    <w:p w:rsidR="00B35F32" w:rsidRDefault="00B35F32" w:rsidP="00B35F32">
      <w:pPr>
        <w:pStyle w:val="Heading2"/>
        <w:rPr>
          <w:rFonts w:ascii="Times New Roman" w:hAnsi="Times New Roman"/>
          <w:sz w:val="24"/>
        </w:rPr>
      </w:pPr>
      <w:bookmarkStart w:id="41" w:name="_Toc154980750"/>
      <w:bookmarkStart w:id="42" w:name="_Toc154982706"/>
      <w:bookmarkStart w:id="43" w:name="_Toc157225588"/>
      <w:bookmarkStart w:id="44" w:name="_Toc296416807"/>
      <w:bookmarkStart w:id="45" w:name="_Toc32252470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Times New Roman" w:hAnsi="Times New Roman"/>
          <w:sz w:val="24"/>
        </w:rPr>
        <w:t xml:space="preserve">2.3. </w:t>
      </w:r>
      <w:r w:rsidRPr="00794A29">
        <w:rPr>
          <w:rFonts w:ascii="Times New Roman" w:hAnsi="Times New Roman"/>
          <w:sz w:val="24"/>
        </w:rPr>
        <w:t>Геоложки условия на терена</w:t>
      </w:r>
      <w:bookmarkEnd w:id="41"/>
      <w:bookmarkEnd w:id="42"/>
      <w:bookmarkEnd w:id="43"/>
      <w:bookmarkEnd w:id="44"/>
      <w:bookmarkEnd w:id="45"/>
      <w:r>
        <w:rPr>
          <w:rFonts w:ascii="Times New Roman" w:hAnsi="Times New Roman"/>
          <w:sz w:val="24"/>
        </w:rPr>
        <w:t xml:space="preserve"> </w:t>
      </w:r>
    </w:p>
    <w:p w:rsidR="00780B3A" w:rsidRPr="00F4661B" w:rsidRDefault="00780B3A" w:rsidP="00780B3A">
      <w:pPr>
        <w:spacing w:line="360" w:lineRule="auto"/>
        <w:ind w:firstLine="708"/>
        <w:jc w:val="both"/>
      </w:pPr>
      <w:r>
        <w:t>Както бе отбелязано по-горе на територията на площадката се разктиват основно кватернерни седименти представени от глинести чакъли, льосовидни глини и почвен слой.</w:t>
      </w:r>
    </w:p>
    <w:p w:rsidR="00B35F32" w:rsidRDefault="00780B3A" w:rsidP="00B35F32">
      <w:pPr>
        <w:spacing w:line="360" w:lineRule="auto"/>
        <w:ind w:firstLine="426"/>
        <w:jc w:val="both"/>
      </w:pPr>
      <w:r>
        <w:tab/>
        <w:t>От направените ВЕС и изчертаните профили между тях, се вижда, че на площадката са отделени четири литоложки разновидности, а</w:t>
      </w:r>
      <w:r w:rsidR="009A6E35">
        <w:t xml:space="preserve"> </w:t>
      </w:r>
      <w:r>
        <w:t>именно:</w:t>
      </w:r>
    </w:p>
    <w:p w:rsidR="009A6E35" w:rsidRDefault="009A6E35" w:rsidP="009A6E35">
      <w:pPr>
        <w:pStyle w:val="BodyTextIndent3"/>
        <w:spacing w:after="0" w:line="360" w:lineRule="auto"/>
        <w:ind w:left="0" w:firstLine="567"/>
        <w:jc w:val="both"/>
        <w:rPr>
          <w:color w:val="000000"/>
          <w:sz w:val="24"/>
          <w:szCs w:val="24"/>
        </w:rPr>
      </w:pPr>
      <w:r w:rsidRPr="009A6E35">
        <w:rPr>
          <w:b/>
          <w:i/>
          <w:sz w:val="24"/>
          <w:szCs w:val="24"/>
          <w:u w:val="single"/>
        </w:rPr>
        <w:lastRenderedPageBreak/>
        <w:t>Литоложки вид 1</w:t>
      </w:r>
      <w:r>
        <w:rPr>
          <w:b/>
          <w:i/>
          <w:sz w:val="24"/>
          <w:szCs w:val="24"/>
          <w:u w:val="single"/>
        </w:rPr>
        <w:t>,</w:t>
      </w:r>
      <w:r w:rsidRPr="009A6E35">
        <w:rPr>
          <w:i/>
          <w:sz w:val="24"/>
          <w:szCs w:val="24"/>
          <w:u w:val="single"/>
        </w:rPr>
        <w:t xml:space="preserve"> </w:t>
      </w:r>
      <w:r w:rsidRPr="009A6E35">
        <w:rPr>
          <w:b/>
          <w:i/>
          <w:sz w:val="24"/>
          <w:szCs w:val="24"/>
          <w:u w:val="single"/>
        </w:rPr>
        <w:t xml:space="preserve">Почвен слой </w:t>
      </w:r>
      <w:r w:rsidRPr="009A6E35">
        <w:rPr>
          <w:sz w:val="24"/>
          <w:szCs w:val="24"/>
        </w:rPr>
        <w:t xml:space="preserve">–педставен е от охумусен льос и е разпространен повсеместно около отпадъците. Дебелината му не надвишава 0,5 </w:t>
      </w:r>
      <w:r w:rsidRPr="009A6E35">
        <w:rPr>
          <w:sz w:val="24"/>
          <w:szCs w:val="24"/>
          <w:lang w:val="en-US"/>
        </w:rPr>
        <w:t>m.</w:t>
      </w:r>
      <w:r w:rsidRPr="009A6E35">
        <w:rPr>
          <w:sz w:val="24"/>
          <w:szCs w:val="24"/>
        </w:rPr>
        <w:t xml:space="preserve"> Не е годен за фундиране и следва да се отстрани. </w:t>
      </w:r>
      <w:r w:rsidRPr="009A6E35">
        <w:rPr>
          <w:color w:val="000000"/>
          <w:sz w:val="24"/>
          <w:szCs w:val="24"/>
        </w:rPr>
        <w:t>Категория на разработване – средно земна почва.</w:t>
      </w:r>
    </w:p>
    <w:p w:rsidR="00054106" w:rsidRPr="00BE2706" w:rsidRDefault="009A6E35" w:rsidP="00BE2706">
      <w:pPr>
        <w:pStyle w:val="Bodytext1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BE2706">
        <w:rPr>
          <w:b/>
          <w:i/>
          <w:sz w:val="24"/>
          <w:szCs w:val="24"/>
          <w:u w:val="single"/>
        </w:rPr>
        <w:t>Литоложки вид 2, Насип от отпадъци</w:t>
      </w:r>
      <w:r w:rsidRPr="00BE2706">
        <w:rPr>
          <w:sz w:val="24"/>
          <w:szCs w:val="24"/>
        </w:rPr>
        <w:t xml:space="preserve"> - </w:t>
      </w:r>
      <w:r w:rsidR="00054106" w:rsidRPr="00BE2706">
        <w:rPr>
          <w:sz w:val="24"/>
          <w:szCs w:val="24"/>
        </w:rPr>
        <w:t>Насип- разнороден, преобладаващ от неуплътнени глини, тухли, бетон и малък процент битови и текстилни отпадъци</w:t>
      </w:r>
      <w:r w:rsidR="00054106" w:rsidRPr="00BE2706">
        <w:rPr>
          <w:i/>
          <w:sz w:val="24"/>
          <w:szCs w:val="24"/>
        </w:rPr>
        <w:t>.</w:t>
      </w:r>
      <w:r w:rsidR="00054106" w:rsidRPr="00BE2706">
        <w:rPr>
          <w:sz w:val="24"/>
          <w:szCs w:val="24"/>
        </w:rPr>
        <w:t xml:space="preserve"> Изгражда </w:t>
      </w:r>
      <w:r w:rsidR="00BE2706" w:rsidRPr="00BE2706">
        <w:rPr>
          <w:sz w:val="24"/>
          <w:szCs w:val="24"/>
        </w:rPr>
        <w:t>сметищното тяло и е</w:t>
      </w:r>
      <w:r w:rsidR="00054106" w:rsidRPr="00BE2706">
        <w:rPr>
          <w:sz w:val="24"/>
          <w:szCs w:val="24"/>
        </w:rPr>
        <w:t xml:space="preserve"> с дебелина </w:t>
      </w:r>
      <w:r w:rsidR="00BE2706" w:rsidRPr="00BE2706">
        <w:rPr>
          <w:sz w:val="24"/>
          <w:szCs w:val="24"/>
        </w:rPr>
        <w:t>0,</w:t>
      </w:r>
      <w:r w:rsidR="00054106" w:rsidRPr="00BE2706">
        <w:rPr>
          <w:sz w:val="24"/>
          <w:szCs w:val="24"/>
        </w:rPr>
        <w:t>2</w:t>
      </w:r>
      <w:r w:rsidR="00BE2706" w:rsidRPr="00BE2706">
        <w:rPr>
          <w:sz w:val="24"/>
          <w:szCs w:val="24"/>
        </w:rPr>
        <w:t xml:space="preserve"> - 15,0</w:t>
      </w:r>
      <w:r w:rsidR="00054106" w:rsidRPr="00BE2706">
        <w:rPr>
          <w:sz w:val="24"/>
          <w:szCs w:val="24"/>
        </w:rPr>
        <w:t xml:space="preserve"> m. За характеризиране на параметрите на пласта са използвани резултатите от изследванията на</w:t>
      </w:r>
      <w:r w:rsidR="00BE2706" w:rsidRPr="00BE2706">
        <w:rPr>
          <w:sz w:val="24"/>
          <w:szCs w:val="24"/>
        </w:rPr>
        <w:t xml:space="preserve"> подобни депа. По литературни данни отпадъка е със следните характеристики:</w:t>
      </w:r>
    </w:p>
    <w:p w:rsidR="00054106" w:rsidRPr="00BE2706" w:rsidRDefault="00054106" w:rsidP="00BE2706">
      <w:pPr>
        <w:pStyle w:val="ListParagraph"/>
        <w:numPr>
          <w:ilvl w:val="0"/>
          <w:numId w:val="4"/>
        </w:numPr>
        <w:tabs>
          <w:tab w:val="left" w:pos="4820"/>
        </w:tabs>
        <w:spacing w:line="360" w:lineRule="auto"/>
        <w:rPr>
          <w:sz w:val="24"/>
          <w:szCs w:val="24"/>
        </w:rPr>
      </w:pPr>
      <w:r w:rsidRPr="00BE2706">
        <w:rPr>
          <w:sz w:val="24"/>
          <w:szCs w:val="24"/>
        </w:rPr>
        <w:t>Обемна плътност, ρ</w:t>
      </w:r>
      <w:r w:rsidRPr="00BE2706">
        <w:rPr>
          <w:sz w:val="24"/>
          <w:szCs w:val="24"/>
          <w:vertAlign w:val="subscript"/>
        </w:rPr>
        <w:t xml:space="preserve">n </w:t>
      </w:r>
      <w:r w:rsidRPr="00BE2706">
        <w:rPr>
          <w:sz w:val="24"/>
          <w:szCs w:val="24"/>
        </w:rPr>
        <w:t>(</w:t>
      </w:r>
      <w:r w:rsidRPr="00BE2706">
        <w:rPr>
          <w:sz w:val="24"/>
          <w:szCs w:val="24"/>
          <w:lang w:val="en-US"/>
        </w:rPr>
        <w:t>g</w:t>
      </w:r>
      <w:r w:rsidRPr="00BE2706">
        <w:rPr>
          <w:sz w:val="24"/>
          <w:szCs w:val="24"/>
        </w:rPr>
        <w:t>/с</w:t>
      </w:r>
      <w:r w:rsidRPr="00BE2706">
        <w:rPr>
          <w:sz w:val="24"/>
          <w:szCs w:val="24"/>
          <w:lang w:val="en-US"/>
        </w:rPr>
        <w:t>m</w:t>
      </w:r>
      <w:r w:rsidRPr="00BE2706">
        <w:rPr>
          <w:sz w:val="24"/>
          <w:szCs w:val="24"/>
          <w:vertAlign w:val="superscript"/>
        </w:rPr>
        <w:t>3</w:t>
      </w:r>
      <w:r w:rsidRPr="00BE2706">
        <w:rPr>
          <w:sz w:val="24"/>
          <w:szCs w:val="24"/>
        </w:rPr>
        <w:t>)</w:t>
      </w:r>
      <w:r w:rsidRPr="00BE2706">
        <w:rPr>
          <w:sz w:val="24"/>
          <w:szCs w:val="24"/>
        </w:rPr>
        <w:tab/>
        <w:t>1,70;</w:t>
      </w:r>
    </w:p>
    <w:p w:rsidR="00054106" w:rsidRPr="00BE2706" w:rsidRDefault="00054106" w:rsidP="00BE2706">
      <w:pPr>
        <w:pStyle w:val="ListParagraph"/>
        <w:numPr>
          <w:ilvl w:val="0"/>
          <w:numId w:val="4"/>
        </w:numPr>
        <w:tabs>
          <w:tab w:val="left" w:pos="4820"/>
        </w:tabs>
        <w:spacing w:line="360" w:lineRule="auto"/>
        <w:rPr>
          <w:sz w:val="24"/>
          <w:szCs w:val="24"/>
        </w:rPr>
      </w:pPr>
      <w:r w:rsidRPr="00BE2706">
        <w:rPr>
          <w:sz w:val="24"/>
          <w:szCs w:val="24"/>
        </w:rPr>
        <w:t>Обемна пл. на скелета, ρ</w:t>
      </w:r>
      <w:r w:rsidRPr="00BE2706">
        <w:rPr>
          <w:sz w:val="24"/>
          <w:szCs w:val="24"/>
          <w:vertAlign w:val="subscript"/>
        </w:rPr>
        <w:t xml:space="preserve">n </w:t>
      </w:r>
      <w:r w:rsidRPr="00BE2706">
        <w:rPr>
          <w:sz w:val="24"/>
          <w:szCs w:val="24"/>
        </w:rPr>
        <w:t>(</w:t>
      </w:r>
      <w:r w:rsidRPr="00BE2706">
        <w:rPr>
          <w:sz w:val="24"/>
          <w:szCs w:val="24"/>
          <w:lang w:val="en-US"/>
        </w:rPr>
        <w:t>g</w:t>
      </w:r>
      <w:r w:rsidRPr="00BE2706">
        <w:rPr>
          <w:sz w:val="24"/>
          <w:szCs w:val="24"/>
        </w:rPr>
        <w:t>/с</w:t>
      </w:r>
      <w:r w:rsidRPr="00BE2706">
        <w:rPr>
          <w:sz w:val="24"/>
          <w:szCs w:val="24"/>
          <w:lang w:val="en-US"/>
        </w:rPr>
        <w:t>m</w:t>
      </w:r>
      <w:r w:rsidRPr="00BE2706">
        <w:rPr>
          <w:sz w:val="24"/>
          <w:szCs w:val="24"/>
          <w:vertAlign w:val="superscript"/>
        </w:rPr>
        <w:t>3</w:t>
      </w:r>
      <w:r w:rsidRPr="00BE2706">
        <w:rPr>
          <w:sz w:val="24"/>
          <w:szCs w:val="24"/>
        </w:rPr>
        <w:t>)</w:t>
      </w:r>
      <w:r w:rsidRPr="00BE2706">
        <w:rPr>
          <w:sz w:val="24"/>
          <w:szCs w:val="24"/>
        </w:rPr>
        <w:tab/>
        <w:t>1,40;</w:t>
      </w:r>
    </w:p>
    <w:p w:rsidR="00054106" w:rsidRPr="00BE2706" w:rsidRDefault="00054106" w:rsidP="00BE2706">
      <w:pPr>
        <w:pStyle w:val="ListParagraph"/>
        <w:numPr>
          <w:ilvl w:val="0"/>
          <w:numId w:val="4"/>
        </w:numPr>
        <w:tabs>
          <w:tab w:val="left" w:pos="4820"/>
        </w:tabs>
        <w:spacing w:line="360" w:lineRule="auto"/>
        <w:rPr>
          <w:b/>
          <w:sz w:val="24"/>
          <w:szCs w:val="24"/>
        </w:rPr>
      </w:pPr>
      <w:r w:rsidRPr="00BE2706">
        <w:rPr>
          <w:sz w:val="24"/>
          <w:szCs w:val="24"/>
        </w:rPr>
        <w:t xml:space="preserve">Водно съдържание, Wn </w:t>
      </w:r>
      <w:r w:rsidRPr="00BE2706">
        <w:rPr>
          <w:sz w:val="24"/>
          <w:szCs w:val="24"/>
          <w:lang w:val="en-US"/>
        </w:rPr>
        <w:t>(</w:t>
      </w:r>
      <w:r w:rsidRPr="00BE2706">
        <w:rPr>
          <w:sz w:val="24"/>
          <w:szCs w:val="24"/>
        </w:rPr>
        <w:t>%</w:t>
      </w:r>
      <w:r w:rsidRPr="00BE2706">
        <w:rPr>
          <w:sz w:val="24"/>
          <w:szCs w:val="24"/>
          <w:lang w:val="en-US"/>
        </w:rPr>
        <w:t>)</w:t>
      </w:r>
      <w:r w:rsidRPr="00BE2706">
        <w:rPr>
          <w:sz w:val="24"/>
          <w:szCs w:val="24"/>
        </w:rPr>
        <w:tab/>
        <w:t>21,0;</w:t>
      </w:r>
    </w:p>
    <w:p w:rsidR="00054106" w:rsidRPr="00BE2706" w:rsidRDefault="00054106" w:rsidP="00BE2706">
      <w:pPr>
        <w:pStyle w:val="ListParagraph"/>
        <w:numPr>
          <w:ilvl w:val="0"/>
          <w:numId w:val="4"/>
        </w:numPr>
        <w:tabs>
          <w:tab w:val="left" w:pos="4820"/>
        </w:tabs>
        <w:spacing w:line="360" w:lineRule="auto"/>
        <w:rPr>
          <w:b/>
          <w:sz w:val="24"/>
          <w:szCs w:val="24"/>
        </w:rPr>
      </w:pPr>
      <w:r w:rsidRPr="00BE2706">
        <w:rPr>
          <w:sz w:val="24"/>
          <w:szCs w:val="24"/>
        </w:rPr>
        <w:t>Категория на изкоп</w:t>
      </w:r>
      <w:r w:rsidRPr="00BE2706">
        <w:rPr>
          <w:sz w:val="24"/>
          <w:szCs w:val="24"/>
        </w:rPr>
        <w:tab/>
        <w:t xml:space="preserve">лека земна. </w:t>
      </w:r>
    </w:p>
    <w:p w:rsidR="00CA55DA" w:rsidRPr="00BE2706" w:rsidRDefault="00BE2706" w:rsidP="00CA55DA">
      <w:pPr>
        <w:pStyle w:val="Bodytext1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CA55DA">
        <w:rPr>
          <w:b/>
          <w:i/>
          <w:sz w:val="24"/>
          <w:szCs w:val="24"/>
          <w:u w:val="single"/>
        </w:rPr>
        <w:t xml:space="preserve">Литоложки вид 3, </w:t>
      </w:r>
      <w:r w:rsidR="00991CC5" w:rsidRPr="00CA55DA">
        <w:rPr>
          <w:b/>
          <w:i/>
          <w:sz w:val="24"/>
          <w:szCs w:val="24"/>
          <w:u w:val="single"/>
        </w:rPr>
        <w:t xml:space="preserve">Глина </w:t>
      </w:r>
      <w:r w:rsidR="00CA55DA" w:rsidRPr="00CA55DA">
        <w:rPr>
          <w:b/>
          <w:i/>
          <w:sz w:val="24"/>
          <w:szCs w:val="24"/>
          <w:u w:val="single"/>
        </w:rPr>
        <w:t>песъчлива (льос)</w:t>
      </w:r>
      <w:r w:rsidR="00CA55DA">
        <w:rPr>
          <w:sz w:val="24"/>
          <w:szCs w:val="24"/>
        </w:rPr>
        <w:t xml:space="preserve"> - </w:t>
      </w:r>
      <w:r w:rsidR="00CA55DA" w:rsidRPr="00CA55DA">
        <w:rPr>
          <w:sz w:val="24"/>
          <w:szCs w:val="24"/>
        </w:rPr>
        <w:t>Лъосовидна глина, прахово-песъчлива, кафяв</w:t>
      </w:r>
      <w:r w:rsidR="00CA55DA">
        <w:rPr>
          <w:sz w:val="24"/>
          <w:szCs w:val="24"/>
        </w:rPr>
        <w:t>а</w:t>
      </w:r>
      <w:r w:rsidR="00CA55DA" w:rsidRPr="00CA55DA">
        <w:rPr>
          <w:sz w:val="24"/>
          <w:szCs w:val="24"/>
        </w:rPr>
        <w:t>, с карбонатни включения, твърдопластична</w:t>
      </w:r>
      <w:r w:rsidR="00CA55DA">
        <w:rPr>
          <w:sz w:val="24"/>
          <w:szCs w:val="24"/>
        </w:rPr>
        <w:t>.</w:t>
      </w:r>
      <w:r w:rsidR="00CA55DA" w:rsidRPr="00CA55DA">
        <w:rPr>
          <w:sz w:val="24"/>
          <w:szCs w:val="24"/>
        </w:rPr>
        <w:t xml:space="preserve"> </w:t>
      </w:r>
      <w:r w:rsidR="00CA55DA">
        <w:rPr>
          <w:sz w:val="24"/>
          <w:szCs w:val="24"/>
        </w:rPr>
        <w:t>Заляга под тялото на депона, като на места е в алтернация с чакълестата глина.</w:t>
      </w:r>
      <w:r w:rsidR="00CA55DA" w:rsidRPr="00CA55DA">
        <w:rPr>
          <w:sz w:val="24"/>
          <w:szCs w:val="24"/>
        </w:rPr>
        <w:t xml:space="preserve"> Максимална</w:t>
      </w:r>
      <w:r w:rsidR="00CA55DA">
        <w:rPr>
          <w:sz w:val="24"/>
          <w:szCs w:val="24"/>
        </w:rPr>
        <w:t>та</w:t>
      </w:r>
      <w:r w:rsidR="00CA55DA" w:rsidRPr="00CA55DA">
        <w:rPr>
          <w:sz w:val="24"/>
          <w:szCs w:val="24"/>
        </w:rPr>
        <w:t xml:space="preserve"> дебелина</w:t>
      </w:r>
      <w:r w:rsidR="00CA55DA">
        <w:rPr>
          <w:sz w:val="24"/>
          <w:szCs w:val="24"/>
        </w:rPr>
        <w:t xml:space="preserve"> не е достигната.</w:t>
      </w:r>
      <w:r w:rsidR="00CA55DA" w:rsidRPr="00CA55DA">
        <w:rPr>
          <w:sz w:val="24"/>
          <w:szCs w:val="24"/>
        </w:rPr>
        <w:t xml:space="preserve"> </w:t>
      </w:r>
      <w:r w:rsidR="00CA55DA" w:rsidRPr="00BE2706">
        <w:rPr>
          <w:sz w:val="24"/>
          <w:szCs w:val="24"/>
        </w:rPr>
        <w:t xml:space="preserve">По литературни данни </w:t>
      </w:r>
      <w:r w:rsidR="00CA55DA">
        <w:rPr>
          <w:sz w:val="24"/>
          <w:szCs w:val="24"/>
        </w:rPr>
        <w:t>пласта</w:t>
      </w:r>
      <w:r w:rsidR="00CA55DA" w:rsidRPr="00BE2706">
        <w:rPr>
          <w:sz w:val="24"/>
          <w:szCs w:val="24"/>
        </w:rPr>
        <w:t xml:space="preserve"> е със следните характеристики:</w:t>
      </w:r>
    </w:p>
    <w:p w:rsidR="00CA55DA" w:rsidRPr="00CA55DA" w:rsidRDefault="00CA55DA" w:rsidP="00CA55DA">
      <w:pPr>
        <w:pStyle w:val="Bodytext1"/>
        <w:numPr>
          <w:ilvl w:val="0"/>
          <w:numId w:val="0"/>
        </w:numPr>
        <w:spacing w:line="360" w:lineRule="auto"/>
        <w:ind w:left="714" w:hanging="357"/>
        <w:rPr>
          <w:sz w:val="24"/>
          <w:szCs w:val="24"/>
        </w:rPr>
      </w:pP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Специфична плътност, ρ</w:t>
      </w:r>
      <w:r w:rsidRPr="00991CC5">
        <w:rPr>
          <w:sz w:val="24"/>
          <w:szCs w:val="24"/>
          <w:vertAlign w:val="subscript"/>
        </w:rPr>
        <w:t xml:space="preserve">s </w:t>
      </w:r>
      <w:r w:rsidRPr="00991CC5">
        <w:rPr>
          <w:sz w:val="24"/>
          <w:szCs w:val="24"/>
        </w:rPr>
        <w:t>(</w:t>
      </w:r>
      <w:r w:rsidRPr="00991CC5">
        <w:rPr>
          <w:sz w:val="24"/>
          <w:szCs w:val="24"/>
          <w:lang w:val="en-US"/>
        </w:rPr>
        <w:t>g</w:t>
      </w:r>
      <w:r w:rsidRPr="00991CC5">
        <w:rPr>
          <w:sz w:val="24"/>
          <w:szCs w:val="24"/>
        </w:rPr>
        <w:t>/с</w:t>
      </w:r>
      <w:r w:rsidRPr="00991CC5">
        <w:rPr>
          <w:sz w:val="24"/>
          <w:szCs w:val="24"/>
          <w:lang w:val="en-US"/>
        </w:rPr>
        <w:t>m</w:t>
      </w:r>
      <w:r w:rsidRPr="00991CC5">
        <w:rPr>
          <w:sz w:val="24"/>
          <w:szCs w:val="24"/>
          <w:vertAlign w:val="superscript"/>
        </w:rPr>
        <w:t>3</w:t>
      </w:r>
      <w:r w:rsidRPr="00991CC5">
        <w:rPr>
          <w:sz w:val="24"/>
          <w:szCs w:val="24"/>
        </w:rPr>
        <w:t>)</w:t>
      </w:r>
      <w:r w:rsidRPr="00991CC5">
        <w:rPr>
          <w:sz w:val="24"/>
          <w:szCs w:val="24"/>
        </w:rPr>
        <w:tab/>
        <w:t>2.67;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Обемна плътност, ρ</w:t>
      </w:r>
      <w:r w:rsidRPr="00991CC5">
        <w:rPr>
          <w:sz w:val="24"/>
          <w:szCs w:val="24"/>
          <w:vertAlign w:val="subscript"/>
        </w:rPr>
        <w:t xml:space="preserve">n </w:t>
      </w:r>
      <w:r w:rsidRPr="00991CC5">
        <w:rPr>
          <w:sz w:val="24"/>
          <w:szCs w:val="24"/>
        </w:rPr>
        <w:t>(</w:t>
      </w:r>
      <w:r w:rsidRPr="00991CC5">
        <w:rPr>
          <w:sz w:val="24"/>
          <w:szCs w:val="24"/>
          <w:lang w:val="en-US"/>
        </w:rPr>
        <w:t>g</w:t>
      </w:r>
      <w:r w:rsidRPr="00991CC5">
        <w:rPr>
          <w:sz w:val="24"/>
          <w:szCs w:val="24"/>
        </w:rPr>
        <w:t>/с</w:t>
      </w:r>
      <w:r w:rsidRPr="00991CC5">
        <w:rPr>
          <w:sz w:val="24"/>
          <w:szCs w:val="24"/>
          <w:lang w:val="en-US"/>
        </w:rPr>
        <w:t>m</w:t>
      </w:r>
      <w:r w:rsidRPr="00991CC5">
        <w:rPr>
          <w:sz w:val="24"/>
          <w:szCs w:val="24"/>
          <w:vertAlign w:val="superscript"/>
        </w:rPr>
        <w:t>3</w:t>
      </w:r>
      <w:r w:rsidRPr="00991CC5">
        <w:rPr>
          <w:sz w:val="24"/>
          <w:szCs w:val="24"/>
        </w:rPr>
        <w:t>)</w:t>
      </w:r>
      <w:r w:rsidRPr="00991CC5">
        <w:rPr>
          <w:sz w:val="24"/>
          <w:szCs w:val="24"/>
        </w:rPr>
        <w:tab/>
        <w:t>1.55–1.90;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Обемна пл. на скелета, ρ</w:t>
      </w:r>
      <w:r w:rsidRPr="00991CC5">
        <w:rPr>
          <w:sz w:val="24"/>
          <w:szCs w:val="24"/>
          <w:vertAlign w:val="subscript"/>
        </w:rPr>
        <w:t xml:space="preserve">n </w:t>
      </w:r>
      <w:r w:rsidRPr="00991CC5">
        <w:rPr>
          <w:sz w:val="24"/>
          <w:szCs w:val="24"/>
        </w:rPr>
        <w:t>(</w:t>
      </w:r>
      <w:r w:rsidRPr="00991CC5">
        <w:rPr>
          <w:sz w:val="24"/>
          <w:szCs w:val="24"/>
          <w:lang w:val="en-US"/>
        </w:rPr>
        <w:t>g</w:t>
      </w:r>
      <w:r w:rsidRPr="00991CC5">
        <w:rPr>
          <w:sz w:val="24"/>
          <w:szCs w:val="24"/>
        </w:rPr>
        <w:t>/с</w:t>
      </w:r>
      <w:r w:rsidRPr="00991CC5">
        <w:rPr>
          <w:sz w:val="24"/>
          <w:szCs w:val="24"/>
          <w:lang w:val="en-US"/>
        </w:rPr>
        <w:t>m</w:t>
      </w:r>
      <w:r w:rsidRPr="00991CC5">
        <w:rPr>
          <w:sz w:val="24"/>
          <w:szCs w:val="24"/>
          <w:vertAlign w:val="superscript"/>
        </w:rPr>
        <w:t>3</w:t>
      </w:r>
      <w:r w:rsidRPr="00991CC5">
        <w:rPr>
          <w:sz w:val="24"/>
          <w:szCs w:val="24"/>
        </w:rPr>
        <w:t>)</w:t>
      </w:r>
      <w:r w:rsidRPr="00991CC5">
        <w:rPr>
          <w:sz w:val="24"/>
          <w:szCs w:val="24"/>
        </w:rPr>
        <w:tab/>
        <w:t>1.52–1.56;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 xml:space="preserve">Водно съдържание, Wn </w:t>
      </w:r>
      <w:r w:rsidRPr="00991CC5">
        <w:rPr>
          <w:sz w:val="24"/>
          <w:szCs w:val="24"/>
          <w:lang w:val="en-US"/>
        </w:rPr>
        <w:t>(</w:t>
      </w:r>
      <w:r w:rsidRPr="00991CC5">
        <w:rPr>
          <w:sz w:val="24"/>
          <w:szCs w:val="24"/>
        </w:rPr>
        <w:t>%</w:t>
      </w:r>
      <w:r w:rsidRPr="00991CC5">
        <w:rPr>
          <w:sz w:val="24"/>
          <w:szCs w:val="24"/>
          <w:lang w:val="en-US"/>
        </w:rPr>
        <w:t>)</w:t>
      </w:r>
      <w:r w:rsidRPr="00991CC5">
        <w:rPr>
          <w:sz w:val="24"/>
          <w:szCs w:val="24"/>
        </w:rPr>
        <w:tab/>
        <w:t>22.0;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 xml:space="preserve">Порен коефициент, </w:t>
      </w:r>
      <w:r w:rsidRPr="00991CC5">
        <w:rPr>
          <w:sz w:val="24"/>
          <w:szCs w:val="24"/>
          <w:lang w:val="en-US"/>
        </w:rPr>
        <w:t>e</w:t>
      </w:r>
      <w:r w:rsidRPr="00991CC5">
        <w:rPr>
          <w:sz w:val="24"/>
          <w:szCs w:val="24"/>
        </w:rPr>
        <w:tab/>
        <w:t>0.711;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Показателл на пластичност</w:t>
      </w:r>
      <w:r w:rsidRPr="00991CC5">
        <w:rPr>
          <w:sz w:val="24"/>
          <w:szCs w:val="24"/>
          <w:lang w:val="en-US"/>
        </w:rPr>
        <w:t xml:space="preserve"> </w:t>
      </w:r>
      <w:r w:rsidRPr="00991CC5">
        <w:rPr>
          <w:sz w:val="24"/>
          <w:szCs w:val="24"/>
        </w:rPr>
        <w:t>–</w:t>
      </w:r>
      <w:r w:rsidRPr="00991CC5">
        <w:rPr>
          <w:sz w:val="24"/>
          <w:szCs w:val="24"/>
          <w:lang w:val="en-US"/>
        </w:rPr>
        <w:t xml:space="preserve"> </w:t>
      </w:r>
      <w:r w:rsidRPr="00991CC5">
        <w:rPr>
          <w:sz w:val="24"/>
          <w:szCs w:val="24"/>
        </w:rPr>
        <w:t>Ip (%</w:t>
      </w:r>
      <w:r w:rsidRPr="00991CC5">
        <w:rPr>
          <w:sz w:val="24"/>
          <w:szCs w:val="24"/>
          <w:lang w:val="en-US"/>
        </w:rPr>
        <w:t>)</w:t>
      </w:r>
      <w:r w:rsidRPr="00991CC5">
        <w:rPr>
          <w:sz w:val="24"/>
          <w:szCs w:val="24"/>
        </w:rPr>
        <w:tab/>
        <w:t>12.0–16.6;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Наименование БДС 676-85 –</w:t>
      </w:r>
      <w:r w:rsidRPr="00991CC5">
        <w:rPr>
          <w:sz w:val="24"/>
          <w:szCs w:val="24"/>
        </w:rPr>
        <w:tab/>
        <w:t>прахово пес. глина;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Показател на консистенция</w:t>
      </w:r>
      <w:r w:rsidRPr="00991CC5">
        <w:rPr>
          <w:sz w:val="24"/>
          <w:szCs w:val="24"/>
          <w:lang w:val="en-US"/>
        </w:rPr>
        <w:t xml:space="preserve"> – </w:t>
      </w:r>
      <w:r w:rsidRPr="00991CC5">
        <w:rPr>
          <w:sz w:val="24"/>
          <w:szCs w:val="24"/>
        </w:rPr>
        <w:t>Ic</w:t>
      </w:r>
      <w:r w:rsidRPr="00991CC5">
        <w:rPr>
          <w:sz w:val="24"/>
          <w:szCs w:val="24"/>
        </w:rPr>
        <w:tab/>
        <w:t>0.87;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Степен на водонасищане, Sr</w:t>
      </w:r>
      <w:r w:rsidRPr="00991CC5">
        <w:rPr>
          <w:sz w:val="24"/>
          <w:szCs w:val="24"/>
        </w:rPr>
        <w:tab/>
        <w:t>0.83;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Модул на обща деформация</w:t>
      </w:r>
      <w:r w:rsidRPr="00991CC5">
        <w:rPr>
          <w:sz w:val="24"/>
          <w:szCs w:val="24"/>
          <w:lang w:val="en-US"/>
        </w:rPr>
        <w:t xml:space="preserve"> </w:t>
      </w:r>
      <w:r w:rsidRPr="00991CC5">
        <w:rPr>
          <w:sz w:val="24"/>
          <w:szCs w:val="24"/>
        </w:rPr>
        <w:t>–</w:t>
      </w:r>
      <w:r w:rsidRPr="00991CC5">
        <w:rPr>
          <w:sz w:val="24"/>
          <w:szCs w:val="24"/>
          <w:lang w:val="en-US"/>
        </w:rPr>
        <w:t xml:space="preserve"> </w:t>
      </w:r>
      <w:r w:rsidRPr="00991CC5">
        <w:rPr>
          <w:sz w:val="24"/>
          <w:szCs w:val="24"/>
        </w:rPr>
        <w:t>Ео (МРа)</w:t>
      </w:r>
      <w:r w:rsidRPr="00991CC5">
        <w:rPr>
          <w:sz w:val="24"/>
          <w:szCs w:val="24"/>
        </w:rPr>
        <w:tab/>
        <w:t>7.0–12.0;</w:t>
      </w:r>
    </w:p>
    <w:p w:rsidR="00991CC5" w:rsidRPr="00991CC5" w:rsidRDefault="00991CC5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sz w:val="24"/>
          <w:szCs w:val="24"/>
        </w:rPr>
      </w:pPr>
      <w:r w:rsidRPr="00991CC5">
        <w:rPr>
          <w:sz w:val="24"/>
          <w:szCs w:val="24"/>
        </w:rPr>
        <w:t xml:space="preserve">Категория на изкоп - </w:t>
      </w:r>
      <w:r w:rsidR="00CA55DA" w:rsidRPr="00991CC5">
        <w:rPr>
          <w:sz w:val="24"/>
          <w:szCs w:val="24"/>
        </w:rPr>
        <w:t>средно до тежко земна.</w:t>
      </w:r>
    </w:p>
    <w:p w:rsidR="00CA55DA" w:rsidRPr="00991CC5" w:rsidRDefault="00CA55DA" w:rsidP="00991CC5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sz w:val="24"/>
          <w:szCs w:val="24"/>
        </w:rPr>
      </w:pPr>
      <w:r w:rsidRPr="00991CC5">
        <w:rPr>
          <w:sz w:val="24"/>
          <w:szCs w:val="24"/>
        </w:rPr>
        <w:t>Коефициентът на относително пропадане достига до 6 %, при дебелина на пропадъчната зона 15 m.</w:t>
      </w:r>
    </w:p>
    <w:p w:rsidR="00991CC5" w:rsidRPr="00BE2706" w:rsidRDefault="00991CC5" w:rsidP="00991CC5">
      <w:pPr>
        <w:pStyle w:val="Bodytext1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CA55DA">
        <w:rPr>
          <w:b/>
          <w:i/>
          <w:sz w:val="24"/>
          <w:szCs w:val="24"/>
          <w:u w:val="single"/>
        </w:rPr>
        <w:lastRenderedPageBreak/>
        <w:t xml:space="preserve">Литоложки вид </w:t>
      </w:r>
      <w:r>
        <w:rPr>
          <w:b/>
          <w:i/>
          <w:sz w:val="24"/>
          <w:szCs w:val="24"/>
          <w:u w:val="single"/>
        </w:rPr>
        <w:t>4</w:t>
      </w:r>
      <w:r w:rsidRPr="00CA55DA">
        <w:rPr>
          <w:b/>
          <w:i/>
          <w:sz w:val="24"/>
          <w:szCs w:val="24"/>
          <w:u w:val="single"/>
        </w:rPr>
        <w:t xml:space="preserve">, Глина </w:t>
      </w:r>
      <w:r>
        <w:rPr>
          <w:b/>
          <w:i/>
          <w:sz w:val="24"/>
          <w:szCs w:val="24"/>
          <w:u w:val="single"/>
        </w:rPr>
        <w:t xml:space="preserve">чакълеста </w:t>
      </w:r>
      <w:r>
        <w:rPr>
          <w:sz w:val="24"/>
          <w:szCs w:val="24"/>
        </w:rPr>
        <w:t>–представен е от прахово-песъчлива глина с дребен до среден чакъл.</w:t>
      </w:r>
      <w:r w:rsidRPr="00CA55DA">
        <w:rPr>
          <w:sz w:val="24"/>
          <w:szCs w:val="24"/>
        </w:rPr>
        <w:t xml:space="preserve"> </w:t>
      </w:r>
      <w:r>
        <w:rPr>
          <w:sz w:val="24"/>
          <w:szCs w:val="24"/>
        </w:rPr>
        <w:t>Заляга под тялото на депона, като на места е в алтернация с пласт 3.</w:t>
      </w:r>
      <w:r w:rsidRPr="00CA55DA">
        <w:rPr>
          <w:sz w:val="24"/>
          <w:szCs w:val="24"/>
        </w:rPr>
        <w:t xml:space="preserve"> Максимална</w:t>
      </w:r>
      <w:r>
        <w:rPr>
          <w:sz w:val="24"/>
          <w:szCs w:val="24"/>
        </w:rPr>
        <w:t>та</w:t>
      </w:r>
      <w:r w:rsidRPr="00CA55DA">
        <w:rPr>
          <w:sz w:val="24"/>
          <w:szCs w:val="24"/>
        </w:rPr>
        <w:t xml:space="preserve"> дебелина</w:t>
      </w:r>
      <w:r>
        <w:rPr>
          <w:sz w:val="24"/>
          <w:szCs w:val="24"/>
        </w:rPr>
        <w:t xml:space="preserve"> е </w:t>
      </w:r>
      <w:r w:rsidR="0012121C">
        <w:rPr>
          <w:sz w:val="24"/>
          <w:szCs w:val="24"/>
        </w:rPr>
        <w:t xml:space="preserve">повече от 20 </w:t>
      </w:r>
      <w:r w:rsidR="0012121C">
        <w:rPr>
          <w:sz w:val="24"/>
          <w:szCs w:val="24"/>
          <w:lang w:val="en-US"/>
        </w:rPr>
        <w:t>m.</w:t>
      </w:r>
      <w:r w:rsidRPr="00CA55DA">
        <w:rPr>
          <w:sz w:val="24"/>
          <w:szCs w:val="24"/>
        </w:rPr>
        <w:t xml:space="preserve"> </w:t>
      </w:r>
      <w:r w:rsidRPr="00BE2706">
        <w:rPr>
          <w:sz w:val="24"/>
          <w:szCs w:val="24"/>
        </w:rPr>
        <w:t xml:space="preserve">По литературни данни </w:t>
      </w:r>
      <w:r>
        <w:rPr>
          <w:sz w:val="24"/>
          <w:szCs w:val="24"/>
        </w:rPr>
        <w:t>пласта</w:t>
      </w:r>
      <w:r w:rsidRPr="00BE2706">
        <w:rPr>
          <w:sz w:val="24"/>
          <w:szCs w:val="24"/>
        </w:rPr>
        <w:t xml:space="preserve"> е със следните характеристики: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Специфична плътност, ρ</w:t>
      </w:r>
      <w:r w:rsidRPr="00991CC5">
        <w:rPr>
          <w:sz w:val="24"/>
          <w:szCs w:val="24"/>
          <w:vertAlign w:val="subscript"/>
        </w:rPr>
        <w:t xml:space="preserve">s </w:t>
      </w:r>
      <w:r w:rsidRPr="00991CC5">
        <w:rPr>
          <w:sz w:val="24"/>
          <w:szCs w:val="24"/>
        </w:rPr>
        <w:t>(</w:t>
      </w:r>
      <w:r w:rsidRPr="00991CC5">
        <w:rPr>
          <w:sz w:val="24"/>
          <w:szCs w:val="24"/>
          <w:lang w:val="en-US"/>
        </w:rPr>
        <w:t>g</w:t>
      </w:r>
      <w:r w:rsidRPr="00991CC5">
        <w:rPr>
          <w:sz w:val="24"/>
          <w:szCs w:val="24"/>
        </w:rPr>
        <w:t>/с</w:t>
      </w:r>
      <w:r w:rsidRPr="00991CC5">
        <w:rPr>
          <w:sz w:val="24"/>
          <w:szCs w:val="24"/>
          <w:lang w:val="en-US"/>
        </w:rPr>
        <w:t>m</w:t>
      </w:r>
      <w:r w:rsidRPr="00991CC5">
        <w:rPr>
          <w:sz w:val="24"/>
          <w:szCs w:val="24"/>
          <w:vertAlign w:val="superscript"/>
        </w:rPr>
        <w:t>3</w:t>
      </w:r>
      <w:r w:rsidRPr="00991CC5">
        <w:rPr>
          <w:sz w:val="24"/>
          <w:szCs w:val="24"/>
        </w:rPr>
        <w:t>)</w:t>
      </w:r>
      <w:r w:rsidRPr="00991CC5">
        <w:rPr>
          <w:sz w:val="24"/>
          <w:szCs w:val="24"/>
        </w:rPr>
        <w:tab/>
        <w:t>2.</w:t>
      </w:r>
      <w:r>
        <w:rPr>
          <w:sz w:val="24"/>
          <w:szCs w:val="24"/>
        </w:rPr>
        <w:t>71</w:t>
      </w:r>
      <w:r w:rsidRPr="00991CC5">
        <w:rPr>
          <w:sz w:val="24"/>
          <w:szCs w:val="24"/>
        </w:rPr>
        <w:t>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Обемна плътност, ρ</w:t>
      </w:r>
      <w:r w:rsidRPr="00991CC5">
        <w:rPr>
          <w:sz w:val="24"/>
          <w:szCs w:val="24"/>
          <w:vertAlign w:val="subscript"/>
        </w:rPr>
        <w:t xml:space="preserve">n </w:t>
      </w:r>
      <w:r w:rsidRPr="00991CC5">
        <w:rPr>
          <w:sz w:val="24"/>
          <w:szCs w:val="24"/>
        </w:rPr>
        <w:t>(</w:t>
      </w:r>
      <w:r w:rsidRPr="00991CC5">
        <w:rPr>
          <w:sz w:val="24"/>
          <w:szCs w:val="24"/>
          <w:lang w:val="en-US"/>
        </w:rPr>
        <w:t>g</w:t>
      </w:r>
      <w:r w:rsidRPr="00991CC5">
        <w:rPr>
          <w:sz w:val="24"/>
          <w:szCs w:val="24"/>
        </w:rPr>
        <w:t>/с</w:t>
      </w:r>
      <w:r w:rsidRPr="00991CC5">
        <w:rPr>
          <w:sz w:val="24"/>
          <w:szCs w:val="24"/>
          <w:lang w:val="en-US"/>
        </w:rPr>
        <w:t>m</w:t>
      </w:r>
      <w:r w:rsidRPr="00991CC5">
        <w:rPr>
          <w:sz w:val="24"/>
          <w:szCs w:val="24"/>
          <w:vertAlign w:val="superscript"/>
        </w:rPr>
        <w:t>3</w:t>
      </w:r>
      <w:r w:rsidRPr="00991CC5">
        <w:rPr>
          <w:sz w:val="24"/>
          <w:szCs w:val="24"/>
        </w:rPr>
        <w:t>)</w:t>
      </w:r>
      <w:r w:rsidRPr="00991CC5">
        <w:rPr>
          <w:sz w:val="24"/>
          <w:szCs w:val="24"/>
        </w:rPr>
        <w:tab/>
      </w:r>
      <w:r>
        <w:rPr>
          <w:sz w:val="24"/>
          <w:szCs w:val="24"/>
        </w:rPr>
        <w:t>2,06</w:t>
      </w:r>
      <w:r w:rsidRPr="00991CC5">
        <w:rPr>
          <w:sz w:val="24"/>
          <w:szCs w:val="24"/>
        </w:rPr>
        <w:t>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Обемна пл. на скелета, ρ</w:t>
      </w:r>
      <w:r w:rsidRPr="00991CC5">
        <w:rPr>
          <w:sz w:val="24"/>
          <w:szCs w:val="24"/>
          <w:vertAlign w:val="subscript"/>
        </w:rPr>
        <w:t xml:space="preserve">n </w:t>
      </w:r>
      <w:r w:rsidRPr="00991CC5">
        <w:rPr>
          <w:sz w:val="24"/>
          <w:szCs w:val="24"/>
        </w:rPr>
        <w:t>(</w:t>
      </w:r>
      <w:r w:rsidRPr="00991CC5">
        <w:rPr>
          <w:sz w:val="24"/>
          <w:szCs w:val="24"/>
          <w:lang w:val="en-US"/>
        </w:rPr>
        <w:t>g</w:t>
      </w:r>
      <w:r w:rsidRPr="00991CC5">
        <w:rPr>
          <w:sz w:val="24"/>
          <w:szCs w:val="24"/>
        </w:rPr>
        <w:t>/с</w:t>
      </w:r>
      <w:r w:rsidRPr="00991CC5">
        <w:rPr>
          <w:sz w:val="24"/>
          <w:szCs w:val="24"/>
          <w:lang w:val="en-US"/>
        </w:rPr>
        <w:t>m</w:t>
      </w:r>
      <w:r w:rsidRPr="00991CC5">
        <w:rPr>
          <w:sz w:val="24"/>
          <w:szCs w:val="24"/>
          <w:vertAlign w:val="superscript"/>
        </w:rPr>
        <w:t>3</w:t>
      </w:r>
      <w:r w:rsidRPr="00991CC5">
        <w:rPr>
          <w:sz w:val="24"/>
          <w:szCs w:val="24"/>
        </w:rPr>
        <w:t>)</w:t>
      </w:r>
      <w:r w:rsidRPr="00991CC5">
        <w:rPr>
          <w:sz w:val="24"/>
          <w:szCs w:val="24"/>
        </w:rPr>
        <w:tab/>
      </w:r>
      <w:r>
        <w:rPr>
          <w:sz w:val="24"/>
          <w:szCs w:val="24"/>
        </w:rPr>
        <w:t>1,83</w:t>
      </w:r>
      <w:r w:rsidRPr="00991CC5">
        <w:rPr>
          <w:sz w:val="24"/>
          <w:szCs w:val="24"/>
        </w:rPr>
        <w:t>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 xml:space="preserve">Водно съдържание, Wn </w:t>
      </w:r>
      <w:r w:rsidRPr="00991CC5">
        <w:rPr>
          <w:sz w:val="24"/>
          <w:szCs w:val="24"/>
          <w:lang w:val="en-US"/>
        </w:rPr>
        <w:t>(</w:t>
      </w:r>
      <w:r w:rsidRPr="00991CC5">
        <w:rPr>
          <w:sz w:val="24"/>
          <w:szCs w:val="24"/>
        </w:rPr>
        <w:t>%</w:t>
      </w:r>
      <w:r w:rsidRPr="00991CC5">
        <w:rPr>
          <w:sz w:val="24"/>
          <w:szCs w:val="24"/>
          <w:lang w:val="en-US"/>
        </w:rPr>
        <w:t>)</w:t>
      </w:r>
      <w:r w:rsidRPr="00991CC5">
        <w:rPr>
          <w:sz w:val="24"/>
          <w:szCs w:val="24"/>
        </w:rPr>
        <w:tab/>
      </w:r>
      <w:r>
        <w:rPr>
          <w:sz w:val="24"/>
          <w:szCs w:val="24"/>
        </w:rPr>
        <w:t>1</w:t>
      </w:r>
      <w:r w:rsidRPr="00991CC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991CC5">
        <w:rPr>
          <w:sz w:val="24"/>
          <w:szCs w:val="24"/>
        </w:rPr>
        <w:t>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 xml:space="preserve">Порен коефициент, </w:t>
      </w:r>
      <w:r w:rsidRPr="00991CC5">
        <w:rPr>
          <w:sz w:val="24"/>
          <w:szCs w:val="24"/>
          <w:lang w:val="en-US"/>
        </w:rPr>
        <w:t>e</w:t>
      </w:r>
      <w:r w:rsidRPr="00991CC5">
        <w:rPr>
          <w:sz w:val="24"/>
          <w:szCs w:val="24"/>
        </w:rPr>
        <w:tab/>
        <w:t>0.</w:t>
      </w:r>
      <w:r>
        <w:rPr>
          <w:sz w:val="24"/>
          <w:szCs w:val="24"/>
        </w:rPr>
        <w:t>480</w:t>
      </w:r>
      <w:r w:rsidRPr="00991CC5">
        <w:rPr>
          <w:sz w:val="24"/>
          <w:szCs w:val="24"/>
        </w:rPr>
        <w:t>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Показателл на пластичност</w:t>
      </w:r>
      <w:r w:rsidRPr="00991CC5">
        <w:rPr>
          <w:sz w:val="24"/>
          <w:szCs w:val="24"/>
          <w:lang w:val="en-US"/>
        </w:rPr>
        <w:t xml:space="preserve"> </w:t>
      </w:r>
      <w:r w:rsidRPr="00991CC5">
        <w:rPr>
          <w:sz w:val="24"/>
          <w:szCs w:val="24"/>
        </w:rPr>
        <w:t>–</w:t>
      </w:r>
      <w:r w:rsidRPr="00991CC5">
        <w:rPr>
          <w:sz w:val="24"/>
          <w:szCs w:val="24"/>
          <w:lang w:val="en-US"/>
        </w:rPr>
        <w:t xml:space="preserve"> </w:t>
      </w:r>
      <w:r w:rsidRPr="00991CC5">
        <w:rPr>
          <w:sz w:val="24"/>
          <w:szCs w:val="24"/>
        </w:rPr>
        <w:t>Ip (%</w:t>
      </w:r>
      <w:r w:rsidRPr="00991CC5">
        <w:rPr>
          <w:sz w:val="24"/>
          <w:szCs w:val="24"/>
          <w:lang w:val="en-US"/>
        </w:rPr>
        <w:t>)</w:t>
      </w:r>
      <w:r w:rsidRPr="00991CC5">
        <w:rPr>
          <w:sz w:val="24"/>
          <w:szCs w:val="24"/>
        </w:rPr>
        <w:tab/>
        <w:t>16.6;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Наименование БДС 676-85 –</w:t>
      </w:r>
      <w:r w:rsidRPr="00991CC5">
        <w:rPr>
          <w:sz w:val="24"/>
          <w:szCs w:val="24"/>
        </w:rPr>
        <w:tab/>
        <w:t>прахово пес. глина;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Показател на консистенция</w:t>
      </w:r>
      <w:r w:rsidRPr="00991CC5">
        <w:rPr>
          <w:sz w:val="24"/>
          <w:szCs w:val="24"/>
          <w:lang w:val="en-US"/>
        </w:rPr>
        <w:t xml:space="preserve"> – </w:t>
      </w:r>
      <w:r w:rsidRPr="00991CC5">
        <w:rPr>
          <w:sz w:val="24"/>
          <w:szCs w:val="24"/>
        </w:rPr>
        <w:t>Ic</w:t>
      </w:r>
      <w:r w:rsidRPr="00991CC5">
        <w:rPr>
          <w:sz w:val="24"/>
          <w:szCs w:val="24"/>
        </w:rPr>
        <w:tab/>
        <w:t>0.87;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i/>
          <w:sz w:val="24"/>
          <w:szCs w:val="24"/>
          <w:u w:val="single"/>
        </w:rPr>
      </w:pPr>
      <w:r w:rsidRPr="00991CC5">
        <w:rPr>
          <w:sz w:val="24"/>
          <w:szCs w:val="24"/>
        </w:rPr>
        <w:t>Степен на водонасищане, Sr</w:t>
      </w:r>
      <w:r w:rsidRPr="00991CC5">
        <w:rPr>
          <w:sz w:val="24"/>
          <w:szCs w:val="24"/>
        </w:rPr>
        <w:tab/>
        <w:t>0.83;</w:t>
      </w:r>
    </w:p>
    <w:p w:rsidR="0012121C" w:rsidRPr="00991CC5" w:rsidRDefault="0012121C" w:rsidP="0012121C">
      <w:pPr>
        <w:pStyle w:val="ListParagraph"/>
        <w:numPr>
          <w:ilvl w:val="0"/>
          <w:numId w:val="8"/>
        </w:numPr>
        <w:tabs>
          <w:tab w:val="left" w:pos="5387"/>
        </w:tabs>
        <w:spacing w:line="360" w:lineRule="auto"/>
        <w:rPr>
          <w:sz w:val="24"/>
          <w:szCs w:val="24"/>
        </w:rPr>
      </w:pPr>
      <w:r w:rsidRPr="00991CC5">
        <w:rPr>
          <w:sz w:val="24"/>
          <w:szCs w:val="24"/>
        </w:rPr>
        <w:t>Категория на изкоп - средно до тежко земна.</w:t>
      </w:r>
    </w:p>
    <w:p w:rsidR="0012121C" w:rsidRDefault="0012121C" w:rsidP="0012121C"/>
    <w:p w:rsidR="0012121C" w:rsidRPr="00DA6490" w:rsidRDefault="0012121C" w:rsidP="0012121C">
      <w:pPr>
        <w:ind w:firstLine="720"/>
      </w:pPr>
      <w:r>
        <w:t xml:space="preserve">Съгласно "Наредба № 1 за проектиране на плоско фундиране” - 1997 г , изчислителното натоварване e </w:t>
      </w:r>
      <w:r w:rsidRPr="00DA6490">
        <w:t>R</w:t>
      </w:r>
      <w:r w:rsidRPr="00DA6490">
        <w:rPr>
          <w:vertAlign w:val="subscript"/>
        </w:rPr>
        <w:t>0</w:t>
      </w:r>
      <w:r w:rsidRPr="00DA6490">
        <w:t xml:space="preserve"> = 0.</w:t>
      </w:r>
      <w:r w:rsidRPr="00DA6490">
        <w:rPr>
          <w:lang w:val="ru-RU"/>
        </w:rPr>
        <w:t>3</w:t>
      </w:r>
      <w:r w:rsidRPr="00DA6490">
        <w:t xml:space="preserve"> MPa.</w:t>
      </w:r>
    </w:p>
    <w:p w:rsidR="0012121C" w:rsidRPr="003E1F26" w:rsidRDefault="0012121C" w:rsidP="0012121C">
      <w:pPr>
        <w:pStyle w:val="Heading2"/>
        <w:rPr>
          <w:rFonts w:ascii="Times New Roman" w:hAnsi="Times New Roman"/>
          <w:sz w:val="24"/>
        </w:rPr>
      </w:pPr>
      <w:bookmarkStart w:id="46" w:name="_Toc523651081"/>
      <w:bookmarkStart w:id="47" w:name="_Toc523651736"/>
      <w:bookmarkStart w:id="48" w:name="_Toc523651834"/>
      <w:bookmarkStart w:id="49" w:name="_Toc523912171"/>
      <w:bookmarkStart w:id="50" w:name="_Toc524771456"/>
      <w:bookmarkStart w:id="51" w:name="_Toc90545641"/>
      <w:bookmarkStart w:id="52" w:name="_Toc90712855"/>
      <w:bookmarkStart w:id="53" w:name="_Toc106426593"/>
      <w:bookmarkStart w:id="54" w:name="_Toc106947063"/>
      <w:bookmarkStart w:id="55" w:name="_Toc106947131"/>
      <w:bookmarkStart w:id="56" w:name="_Toc106947282"/>
      <w:bookmarkStart w:id="57" w:name="_Toc185411716"/>
      <w:bookmarkStart w:id="58" w:name="_Toc288471892"/>
      <w:bookmarkStart w:id="59" w:name="_Toc296416808"/>
      <w:bookmarkStart w:id="60" w:name="_Toc322524701"/>
      <w:r>
        <w:rPr>
          <w:rFonts w:ascii="Times New Roman" w:hAnsi="Times New Roman"/>
          <w:sz w:val="24"/>
        </w:rPr>
        <w:t>2.4</w:t>
      </w:r>
      <w:r w:rsidRPr="003E1F26">
        <w:rPr>
          <w:rFonts w:ascii="Times New Roman" w:hAnsi="Times New Roman"/>
          <w:sz w:val="24"/>
        </w:rPr>
        <w:t>.</w:t>
      </w:r>
      <w:r w:rsidRPr="003E1F26">
        <w:rPr>
          <w:rFonts w:ascii="Times New Roman" w:hAnsi="Times New Roman"/>
          <w:sz w:val="24"/>
        </w:rPr>
        <w:tab/>
        <w:t>Хидрогеоложки условия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12121C" w:rsidRPr="003F243C" w:rsidRDefault="009A6C41" w:rsidP="0012121C">
      <w:pPr>
        <w:pStyle w:val="BodyText2"/>
        <w:spacing w:after="0" w:line="360" w:lineRule="auto"/>
        <w:ind w:firstLine="720"/>
        <w:jc w:val="both"/>
        <w:rPr>
          <w:lang w:val="ru-RU"/>
        </w:rPr>
      </w:pPr>
      <w:r>
        <w:t>Подземните води в района на пощадката неса открити. Същите се дренират от реката и очакваното ниво е на котата на ерозионният базис.</w:t>
      </w:r>
    </w:p>
    <w:p w:rsidR="0012121C" w:rsidRPr="007239D4" w:rsidRDefault="0012121C" w:rsidP="0012121C">
      <w:pPr>
        <w:pStyle w:val="Heading2"/>
        <w:rPr>
          <w:rFonts w:ascii="Times New Roman" w:hAnsi="Times New Roman"/>
          <w:sz w:val="24"/>
        </w:rPr>
      </w:pPr>
      <w:bookmarkStart w:id="61" w:name="_Toc523651082"/>
      <w:bookmarkStart w:id="62" w:name="_Toc523651737"/>
      <w:bookmarkStart w:id="63" w:name="_Toc523651835"/>
      <w:bookmarkStart w:id="64" w:name="_Toc523912172"/>
      <w:bookmarkStart w:id="65" w:name="_Toc524771457"/>
      <w:bookmarkStart w:id="66" w:name="_Toc90545642"/>
      <w:bookmarkStart w:id="67" w:name="_Toc90712856"/>
      <w:bookmarkStart w:id="68" w:name="_Toc106426594"/>
      <w:bookmarkStart w:id="69" w:name="_Toc106947064"/>
      <w:bookmarkStart w:id="70" w:name="_Toc106947132"/>
      <w:bookmarkStart w:id="71" w:name="_Toc106947283"/>
      <w:bookmarkStart w:id="72" w:name="_Toc185411717"/>
      <w:bookmarkStart w:id="73" w:name="_Toc288471893"/>
      <w:bookmarkStart w:id="74" w:name="_Toc296416809"/>
      <w:bookmarkStart w:id="75" w:name="_Toc322524702"/>
      <w:r w:rsidRPr="007239D4">
        <w:rPr>
          <w:rFonts w:ascii="Times New Roman" w:hAnsi="Times New Roman"/>
          <w:sz w:val="24"/>
        </w:rPr>
        <w:t>2.5.</w:t>
      </w:r>
      <w:r w:rsidRPr="007239D4">
        <w:rPr>
          <w:rFonts w:ascii="Times New Roman" w:hAnsi="Times New Roman"/>
          <w:sz w:val="24"/>
        </w:rPr>
        <w:tab/>
        <w:t>Физико-геоложки процеси и явления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12121C" w:rsidRPr="003F243C" w:rsidRDefault="0012121C" w:rsidP="0012121C">
      <w:pPr>
        <w:spacing w:line="360" w:lineRule="auto"/>
        <w:ind w:firstLine="567"/>
        <w:jc w:val="both"/>
      </w:pPr>
      <w:r w:rsidRPr="003F243C">
        <w:t>В резултат на извършения инженерно-геоложки оглед на района следва да се отбележи, че опасни за проектираното строителство физико-геоложки явления и процеси като свлачища, срутища, суфозия, и други няма.</w:t>
      </w:r>
    </w:p>
    <w:p w:rsidR="0012121C" w:rsidRPr="006B61A1" w:rsidRDefault="0012121C" w:rsidP="0012121C">
      <w:pPr>
        <w:pStyle w:val="Heading2"/>
        <w:rPr>
          <w:rFonts w:ascii="Times New Roman" w:hAnsi="Times New Roman"/>
          <w:sz w:val="24"/>
          <w:lang w:val="en-US"/>
        </w:rPr>
      </w:pPr>
      <w:bookmarkStart w:id="76" w:name="_Toc523912173"/>
      <w:bookmarkStart w:id="77" w:name="_Toc524771458"/>
      <w:bookmarkStart w:id="78" w:name="_Toc90545643"/>
      <w:bookmarkStart w:id="79" w:name="_Toc90712857"/>
      <w:bookmarkStart w:id="80" w:name="_Toc106426595"/>
      <w:bookmarkStart w:id="81" w:name="_Toc106947065"/>
      <w:bookmarkStart w:id="82" w:name="_Toc106947133"/>
      <w:bookmarkStart w:id="83" w:name="_Toc106947284"/>
      <w:bookmarkStart w:id="84" w:name="_Toc185411718"/>
      <w:bookmarkStart w:id="85" w:name="_Toc288471894"/>
      <w:bookmarkStart w:id="86" w:name="_Toc296416810"/>
      <w:bookmarkStart w:id="87" w:name="_Toc322524703"/>
      <w:r w:rsidRPr="006B61A1">
        <w:rPr>
          <w:rFonts w:ascii="Times New Roman" w:hAnsi="Times New Roman"/>
          <w:sz w:val="24"/>
        </w:rPr>
        <w:t>2.6.</w:t>
      </w:r>
      <w:r w:rsidRPr="006B61A1">
        <w:rPr>
          <w:rFonts w:ascii="Times New Roman" w:hAnsi="Times New Roman"/>
          <w:sz w:val="24"/>
        </w:rPr>
        <w:tab/>
        <w:t>Сеизмичност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12121C" w:rsidRPr="003F243C" w:rsidRDefault="0012121C" w:rsidP="0012121C">
      <w:pPr>
        <w:spacing w:line="360" w:lineRule="auto"/>
        <w:ind w:firstLine="567"/>
        <w:jc w:val="both"/>
      </w:pPr>
      <w:r w:rsidRPr="003F243C">
        <w:t xml:space="preserve">Проучваният район е със сеизмичен интензитет - </w:t>
      </w:r>
      <w:r w:rsidR="009A6C41">
        <w:rPr>
          <w:lang w:val="en-US"/>
        </w:rPr>
        <w:t>VII</w:t>
      </w:r>
      <w:r w:rsidRPr="003F243C">
        <w:t xml:space="preserve"> степен по </w:t>
      </w:r>
      <w:r w:rsidRPr="003F243C">
        <w:rPr>
          <w:lang w:val="en-US"/>
        </w:rPr>
        <w:t xml:space="preserve">MSK, </w:t>
      </w:r>
      <w:r w:rsidRPr="003F243C">
        <w:t>и сеизмичен коефициент Кс=0.</w:t>
      </w:r>
      <w:r w:rsidR="009A6C41">
        <w:rPr>
          <w:lang w:val="en-US"/>
        </w:rPr>
        <w:t>10</w:t>
      </w:r>
      <w:r w:rsidRPr="003F243C">
        <w:t>.</w:t>
      </w:r>
    </w:p>
    <w:p w:rsidR="0012121C" w:rsidRPr="003F243C" w:rsidRDefault="0012121C" w:rsidP="0012121C">
      <w:pPr>
        <w:pStyle w:val="Header"/>
        <w:spacing w:line="360" w:lineRule="auto"/>
        <w:jc w:val="both"/>
      </w:pPr>
      <w:r>
        <w:br w:type="page"/>
      </w:r>
    </w:p>
    <w:p w:rsidR="0012121C" w:rsidRPr="00510026" w:rsidRDefault="0012121C" w:rsidP="0012121C">
      <w:pPr>
        <w:pStyle w:val="Heading1"/>
        <w:rPr>
          <w:rFonts w:ascii="Times New Roman" w:hAnsi="Times New Roman" w:cs="Times New Roman"/>
        </w:rPr>
      </w:pPr>
      <w:bookmarkStart w:id="88" w:name="_Toc523651083"/>
      <w:bookmarkStart w:id="89" w:name="_Toc523651738"/>
      <w:bookmarkStart w:id="90" w:name="_Toc523651836"/>
      <w:bookmarkStart w:id="91" w:name="_Toc523912174"/>
      <w:bookmarkStart w:id="92" w:name="_Toc524771459"/>
      <w:bookmarkStart w:id="93" w:name="_Toc90545644"/>
      <w:bookmarkStart w:id="94" w:name="_Toc90712858"/>
      <w:bookmarkStart w:id="95" w:name="_Toc106426596"/>
      <w:bookmarkStart w:id="96" w:name="_Toc106947066"/>
      <w:bookmarkStart w:id="97" w:name="_Toc106947134"/>
      <w:bookmarkStart w:id="98" w:name="_Toc106947285"/>
      <w:bookmarkStart w:id="99" w:name="_Toc185411719"/>
      <w:bookmarkStart w:id="100" w:name="_Toc288471895"/>
      <w:bookmarkStart w:id="101" w:name="_Toc296416811"/>
      <w:bookmarkStart w:id="102" w:name="_Toc322524704"/>
      <w:r w:rsidRPr="00510026">
        <w:rPr>
          <w:rFonts w:ascii="Times New Roman" w:hAnsi="Times New Roman" w:cs="Times New Roman"/>
        </w:rPr>
        <w:lastRenderedPageBreak/>
        <w:t>ЗАКЛЮЧЕНИЕ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12121C" w:rsidRDefault="0012121C" w:rsidP="0012121C">
      <w:pPr>
        <w:numPr>
          <w:ilvl w:val="0"/>
          <w:numId w:val="14"/>
        </w:numPr>
        <w:tabs>
          <w:tab w:val="num" w:pos="0"/>
        </w:tabs>
        <w:spacing w:line="360" w:lineRule="auto"/>
        <w:jc w:val="both"/>
      </w:pPr>
      <w:r w:rsidRPr="003F243C">
        <w:t xml:space="preserve">В проучваният район най-голямо площно разпространение са кватернерните наслаги. Те са представени от </w:t>
      </w:r>
      <w:r w:rsidR="002877B6">
        <w:t>еолични и еолично-алувиални</w:t>
      </w:r>
      <w:r w:rsidRPr="003F243C">
        <w:t xml:space="preserve"> образувания – </w:t>
      </w:r>
      <w:r w:rsidR="002877B6">
        <w:t xml:space="preserve">песъкливи </w:t>
      </w:r>
      <w:r w:rsidRPr="003F243C">
        <w:t>глини</w:t>
      </w:r>
      <w:r w:rsidR="002877B6">
        <w:t xml:space="preserve"> (льос)</w:t>
      </w:r>
      <w:r w:rsidRPr="003F243C">
        <w:t xml:space="preserve"> и чакъл</w:t>
      </w:r>
      <w:r w:rsidR="002877B6">
        <w:t>лести глини</w:t>
      </w:r>
      <w:r>
        <w:t>.</w:t>
      </w:r>
    </w:p>
    <w:p w:rsidR="002877B6" w:rsidRDefault="002877B6" w:rsidP="0012121C">
      <w:pPr>
        <w:numPr>
          <w:ilvl w:val="0"/>
          <w:numId w:val="14"/>
        </w:numPr>
        <w:tabs>
          <w:tab w:val="num" w:pos="0"/>
        </w:tabs>
        <w:spacing w:line="360" w:lineRule="auto"/>
        <w:jc w:val="both"/>
      </w:pPr>
      <w:r>
        <w:t>Не са открити подземни води в описаните по-горе пластове.</w:t>
      </w:r>
    </w:p>
    <w:p w:rsidR="0012121C" w:rsidRDefault="0012121C" w:rsidP="0012121C">
      <w:pPr>
        <w:numPr>
          <w:ilvl w:val="0"/>
          <w:numId w:val="14"/>
        </w:numPr>
        <w:spacing w:line="360" w:lineRule="auto"/>
        <w:jc w:val="both"/>
      </w:pPr>
      <w:r w:rsidRPr="003F243C">
        <w:t xml:space="preserve">Проучваният район е със сеизмичен интензитет </w:t>
      </w:r>
      <w:r w:rsidR="002877B6">
        <w:t>–</w:t>
      </w:r>
      <w:r w:rsidRPr="003F243C">
        <w:t xml:space="preserve"> </w:t>
      </w:r>
      <w:r w:rsidR="009A6C41">
        <w:rPr>
          <w:lang w:val="en-US"/>
        </w:rPr>
        <w:t>VII</w:t>
      </w:r>
      <w:r w:rsidRPr="003F243C">
        <w:t xml:space="preserve"> степен по </w:t>
      </w:r>
      <w:r w:rsidRPr="003F243C">
        <w:rPr>
          <w:lang w:val="en-US"/>
        </w:rPr>
        <w:t>MSK</w:t>
      </w:r>
      <w:r w:rsidRPr="003F243C">
        <w:t xml:space="preserve">. </w:t>
      </w:r>
    </w:p>
    <w:p w:rsidR="00CA2FF3" w:rsidRDefault="00CA2FF3" w:rsidP="0012121C">
      <w:pPr>
        <w:numPr>
          <w:ilvl w:val="0"/>
          <w:numId w:val="14"/>
        </w:numPr>
        <w:spacing w:line="360" w:lineRule="auto"/>
        <w:jc w:val="both"/>
      </w:pPr>
      <w:r>
        <w:t>Глинестите земни маси, който ще се използват за екраниращ слой, могат да бъдат използвани от кариера намираща се в гр.Каспичан.</w:t>
      </w:r>
    </w:p>
    <w:p w:rsidR="002877B6" w:rsidRDefault="002877B6" w:rsidP="0012121C">
      <w:pPr>
        <w:numPr>
          <w:ilvl w:val="0"/>
          <w:numId w:val="14"/>
        </w:numPr>
        <w:spacing w:line="360" w:lineRule="auto"/>
        <w:jc w:val="both"/>
      </w:pPr>
      <w:r>
        <w:t xml:space="preserve">В следващата фаза на проектиране е необходимо да се направят допълнителни </w:t>
      </w:r>
      <w:r w:rsidR="005E2048">
        <w:t>пол</w:t>
      </w:r>
      <w:r w:rsidR="00CA2FF3">
        <w:t>е</w:t>
      </w:r>
      <w:r w:rsidR="005E2048">
        <w:t>ви проучвателни дейности за</w:t>
      </w:r>
      <w:r>
        <w:t xml:space="preserve"> изследва</w:t>
      </w:r>
      <w:r w:rsidR="005E2048">
        <w:t>не на физико-механичните показатели и</w:t>
      </w:r>
      <w:r>
        <w:t xml:space="preserve"> коефициента на филтрация на отделените литоложки разновидности, а също така и на глинестият материал, с който ще бъде изпълнено покритието на материалите от депона.</w:t>
      </w:r>
    </w:p>
    <w:p w:rsidR="00136BA7" w:rsidRDefault="00136BA7" w:rsidP="00136BA7">
      <w:pPr>
        <w:spacing w:line="360" w:lineRule="auto"/>
        <w:jc w:val="both"/>
      </w:pPr>
    </w:p>
    <w:p w:rsidR="00136BA7" w:rsidRDefault="00136BA7" w:rsidP="00136BA7">
      <w:pPr>
        <w:spacing w:line="360" w:lineRule="auto"/>
        <w:jc w:val="both"/>
      </w:pPr>
    </w:p>
    <w:p w:rsidR="00136BA7" w:rsidRDefault="00136BA7" w:rsidP="00136BA7">
      <w:pPr>
        <w:spacing w:line="360" w:lineRule="auto"/>
        <w:ind w:left="1068"/>
        <w:jc w:val="right"/>
      </w:pPr>
      <w:r>
        <w:t>Съставили:</w:t>
      </w:r>
      <w:r>
        <w:tab/>
      </w:r>
      <w:r>
        <w:tab/>
      </w:r>
    </w:p>
    <w:p w:rsidR="00136BA7" w:rsidRDefault="00136BA7" w:rsidP="00136BA7">
      <w:pPr>
        <w:spacing w:line="360" w:lineRule="auto"/>
        <w:ind w:left="1068"/>
        <w:jc w:val="right"/>
      </w:pPr>
      <w:r>
        <w:t>..............................................</w:t>
      </w:r>
    </w:p>
    <w:p w:rsidR="00136BA7" w:rsidRDefault="00136BA7" w:rsidP="00136BA7">
      <w:pPr>
        <w:spacing w:line="360" w:lineRule="auto"/>
        <w:ind w:left="1068"/>
        <w:jc w:val="right"/>
      </w:pPr>
      <w:r>
        <w:t>/инж. З. Коровски/</w:t>
      </w:r>
      <w:r>
        <w:tab/>
      </w:r>
      <w:r>
        <w:tab/>
      </w:r>
    </w:p>
    <w:p w:rsidR="00136BA7" w:rsidRDefault="00136BA7" w:rsidP="00136BA7">
      <w:pPr>
        <w:spacing w:line="360" w:lineRule="auto"/>
        <w:ind w:left="1068"/>
        <w:jc w:val="right"/>
      </w:pPr>
      <w:r>
        <w:t>..............................................</w:t>
      </w:r>
    </w:p>
    <w:p w:rsidR="00136BA7" w:rsidRDefault="00136BA7" w:rsidP="00136BA7">
      <w:pPr>
        <w:spacing w:line="360" w:lineRule="auto"/>
        <w:ind w:left="1068"/>
        <w:jc w:val="right"/>
      </w:pPr>
      <w:r>
        <w:t>/инж. Иля Стоянов/</w:t>
      </w:r>
      <w:r>
        <w:tab/>
      </w:r>
      <w:r>
        <w:tab/>
      </w:r>
    </w:p>
    <w:p w:rsidR="005E2048" w:rsidRDefault="005E2048">
      <w:pPr>
        <w:ind w:left="1570" w:hanging="357"/>
        <w:jc w:val="both"/>
        <w:rPr>
          <w:color w:val="000000"/>
        </w:rPr>
      </w:pPr>
      <w:r>
        <w:rPr>
          <w:color w:val="000000"/>
        </w:rPr>
        <w:br w:type="page"/>
      </w:r>
    </w:p>
    <w:p w:rsidR="005E2048" w:rsidRPr="003F243C" w:rsidRDefault="005E2048" w:rsidP="005E2048">
      <w:pPr>
        <w:pStyle w:val="Heading1"/>
        <w:jc w:val="both"/>
        <w:rPr>
          <w:rFonts w:ascii="Times New Roman" w:hAnsi="Times New Roman"/>
          <w:bCs w:val="0"/>
          <w:sz w:val="24"/>
          <w:szCs w:val="24"/>
        </w:rPr>
      </w:pPr>
      <w:bookmarkStart w:id="103" w:name="_Toc296416812"/>
      <w:bookmarkStart w:id="104" w:name="_Toc322524705"/>
      <w:r w:rsidRPr="003F243C">
        <w:rPr>
          <w:rFonts w:ascii="Times New Roman" w:hAnsi="Times New Roman"/>
          <w:bCs w:val="0"/>
          <w:sz w:val="24"/>
          <w:szCs w:val="24"/>
        </w:rPr>
        <w:lastRenderedPageBreak/>
        <w:t>Използвана литература</w:t>
      </w:r>
      <w:bookmarkEnd w:id="103"/>
      <w:bookmarkEnd w:id="104"/>
    </w:p>
    <w:p w:rsidR="005E2048" w:rsidRPr="003F243C" w:rsidRDefault="005E2048" w:rsidP="005E2048">
      <w:pPr>
        <w:numPr>
          <w:ilvl w:val="0"/>
          <w:numId w:val="15"/>
        </w:numPr>
        <w:spacing w:line="360" w:lineRule="auto"/>
        <w:jc w:val="both"/>
      </w:pPr>
      <w:r w:rsidRPr="003F243C">
        <w:t>“Норми за проектиране на плоско фундиране”, София, 1997 г.</w:t>
      </w:r>
    </w:p>
    <w:p w:rsidR="005E2048" w:rsidRDefault="005E2048" w:rsidP="005E2048">
      <w:pPr>
        <w:numPr>
          <w:ilvl w:val="0"/>
          <w:numId w:val="15"/>
        </w:numPr>
        <w:spacing w:line="360" w:lineRule="auto"/>
        <w:jc w:val="both"/>
      </w:pPr>
      <w:r w:rsidRPr="003F243C">
        <w:t>“Норми за проектиране на сгради и съоръжения в земетръсни райони”, София, 1987 г.</w:t>
      </w:r>
    </w:p>
    <w:p w:rsidR="00136BA7" w:rsidRDefault="00136BA7" w:rsidP="005E2048">
      <w:pPr>
        <w:pStyle w:val="Bodytext1"/>
        <w:numPr>
          <w:ilvl w:val="0"/>
          <w:numId w:val="15"/>
        </w:numPr>
        <w:spacing w:line="360" w:lineRule="auto"/>
      </w:pPr>
      <w:r w:rsidRPr="005E2048">
        <w:rPr>
          <w:sz w:val="24"/>
          <w:szCs w:val="24"/>
        </w:rPr>
        <w:t>Наредба за изменение и допълнение на Наредба 8/2004 г</w:t>
      </w:r>
      <w:r w:rsidRPr="00136BA7">
        <w:rPr>
          <w:sz w:val="24"/>
          <w:szCs w:val="24"/>
          <w:lang w:val="en-US"/>
        </w:rPr>
        <w:t>.</w:t>
      </w:r>
      <w:r w:rsidRPr="005E2048">
        <w:rPr>
          <w:sz w:val="24"/>
          <w:szCs w:val="24"/>
        </w:rPr>
        <w:t xml:space="preserve"> за условията и изискванията за изграждане и експлоатация на депа и на други съоръжения и инсталации за оползотворяване и обезвреждане на отпадъци (ДВ, бр. 83 от 2004 г.), обн</w:t>
      </w:r>
      <w:r w:rsidRPr="00136BA7">
        <w:rPr>
          <w:sz w:val="24"/>
          <w:szCs w:val="24"/>
          <w:lang w:val="en-US"/>
        </w:rPr>
        <w:t xml:space="preserve">. </w:t>
      </w:r>
      <w:r w:rsidRPr="005E2048">
        <w:rPr>
          <w:sz w:val="24"/>
          <w:szCs w:val="24"/>
        </w:rPr>
        <w:t>ДВ, бр.</w:t>
      </w:r>
      <w:r w:rsidRPr="00136BA7">
        <w:rPr>
          <w:sz w:val="24"/>
          <w:szCs w:val="24"/>
          <w:lang w:val="en-US"/>
        </w:rPr>
        <w:t xml:space="preserve"> </w:t>
      </w:r>
      <w:r w:rsidRPr="005E2048">
        <w:rPr>
          <w:sz w:val="24"/>
          <w:szCs w:val="24"/>
        </w:rPr>
        <w:t>27/2011</w:t>
      </w:r>
      <w:r w:rsidRPr="00136BA7">
        <w:rPr>
          <w:sz w:val="24"/>
          <w:szCs w:val="24"/>
          <w:lang w:val="en-US"/>
        </w:rPr>
        <w:t>.</w:t>
      </w:r>
    </w:p>
    <w:p w:rsidR="005E2048" w:rsidRDefault="005E2048" w:rsidP="005E2048">
      <w:pPr>
        <w:numPr>
          <w:ilvl w:val="0"/>
          <w:numId w:val="15"/>
        </w:numPr>
        <w:spacing w:line="360" w:lineRule="auto"/>
        <w:jc w:val="both"/>
      </w:pPr>
      <w:r>
        <w:t>Стефанов, Гео и колектив, 1989 г. Наръчник по земна механика и фундиране.</w:t>
      </w:r>
    </w:p>
    <w:p w:rsidR="005E2048" w:rsidRPr="003F243C" w:rsidRDefault="00136BA7" w:rsidP="005E2048">
      <w:pPr>
        <w:numPr>
          <w:ilvl w:val="0"/>
          <w:numId w:val="15"/>
        </w:numPr>
        <w:spacing w:line="360" w:lineRule="auto"/>
        <w:jc w:val="both"/>
      </w:pPr>
      <w:r>
        <w:t>Миланова В.,Г. Чешитев, 1993 г. Обяснителна записка към геоложка карта на България, М 1 : 100 000, картен лист „Нови Пазар”.</w:t>
      </w:r>
    </w:p>
    <w:p w:rsidR="009A6E35" w:rsidRPr="00CA55DA" w:rsidRDefault="00136BA7" w:rsidP="00BE2706">
      <w:pPr>
        <w:numPr>
          <w:ilvl w:val="0"/>
          <w:numId w:val="15"/>
        </w:numPr>
        <w:spacing w:line="360" w:lineRule="auto"/>
        <w:ind w:left="0" w:firstLine="567"/>
        <w:jc w:val="both"/>
        <w:rPr>
          <w:color w:val="000000"/>
        </w:rPr>
      </w:pPr>
      <w:r>
        <w:t>Стоянов, Иля и колектив, 2012 г.</w:t>
      </w:r>
      <w:r w:rsidR="005E2048" w:rsidRPr="003F243C">
        <w:t xml:space="preserve"> Доклад върху геологията </w:t>
      </w:r>
      <w:r>
        <w:t>за обект „</w:t>
      </w:r>
      <w:r w:rsidRPr="00136BA7">
        <w:t>Закриване и рекултивация на съществуващо общинско депо за битови отпадъци на територията на община Русе</w:t>
      </w:r>
      <w:r>
        <w:t>”.</w:t>
      </w:r>
      <w:r w:rsidRPr="00136BA7">
        <w:rPr>
          <w:color w:val="000000"/>
        </w:rPr>
        <w:t xml:space="preserve"> </w:t>
      </w:r>
    </w:p>
    <w:p w:rsidR="00780B3A" w:rsidRPr="009A6E35" w:rsidRDefault="00780B3A" w:rsidP="00B35F32">
      <w:pPr>
        <w:spacing w:line="360" w:lineRule="auto"/>
        <w:ind w:firstLine="426"/>
        <w:jc w:val="both"/>
      </w:pPr>
    </w:p>
    <w:p w:rsidR="00E669AC" w:rsidRPr="00C672FB" w:rsidRDefault="00E669AC" w:rsidP="00E669AC">
      <w:pPr>
        <w:spacing w:line="360" w:lineRule="auto"/>
      </w:pPr>
    </w:p>
    <w:sectPr w:rsidR="00E669AC" w:rsidRPr="00C672FB" w:rsidSect="00283EA6">
      <w:footerReference w:type="default" r:id="rId12"/>
      <w:pgSz w:w="12240" w:h="15840"/>
      <w:pgMar w:top="144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477" w:rsidRDefault="00EC4477" w:rsidP="00136BA7">
      <w:r>
        <w:separator/>
      </w:r>
    </w:p>
  </w:endnote>
  <w:endnote w:type="continuationSeparator" w:id="0">
    <w:p w:rsidR="00EC4477" w:rsidRDefault="00EC4477" w:rsidP="00136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61444"/>
      <w:docPartObj>
        <w:docPartGallery w:val="Page Numbers (Bottom of Page)"/>
        <w:docPartUnique/>
      </w:docPartObj>
    </w:sdtPr>
    <w:sdtContent>
      <w:p w:rsidR="00CD53CE" w:rsidRDefault="00563DA6">
        <w:pPr>
          <w:pStyle w:val="Footer"/>
          <w:jc w:val="right"/>
        </w:pPr>
        <w:fldSimple w:instr=" PAGE   \* MERGEFORMAT ">
          <w:r w:rsidR="00CA2FF3">
            <w:rPr>
              <w:noProof/>
            </w:rPr>
            <w:t>7</w:t>
          </w:r>
        </w:fldSimple>
      </w:p>
    </w:sdtContent>
  </w:sdt>
  <w:p w:rsidR="00CD53CE" w:rsidRDefault="00CD53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477" w:rsidRDefault="00EC4477" w:rsidP="00136BA7">
      <w:r>
        <w:separator/>
      </w:r>
    </w:p>
  </w:footnote>
  <w:footnote w:type="continuationSeparator" w:id="0">
    <w:p w:rsidR="00EC4477" w:rsidRDefault="00EC4477" w:rsidP="00136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33AA"/>
    <w:multiLevelType w:val="hybridMultilevel"/>
    <w:tmpl w:val="97262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5067"/>
    <w:multiLevelType w:val="hybridMultilevel"/>
    <w:tmpl w:val="6EF2C102"/>
    <w:lvl w:ilvl="0" w:tplc="0402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E3C49A4"/>
    <w:multiLevelType w:val="hybridMultilevel"/>
    <w:tmpl w:val="D846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92DA9"/>
    <w:multiLevelType w:val="hybridMultilevel"/>
    <w:tmpl w:val="F4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166F1"/>
    <w:multiLevelType w:val="hybridMultilevel"/>
    <w:tmpl w:val="CC36D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F5F30"/>
    <w:multiLevelType w:val="hybridMultilevel"/>
    <w:tmpl w:val="86782704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9043542">
      <w:start w:val="1"/>
      <w:numFmt w:val="bullet"/>
      <w:pStyle w:val="ListParagraph"/>
      <w:lvlText w:val="-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0A57620"/>
    <w:multiLevelType w:val="hybridMultilevel"/>
    <w:tmpl w:val="EF10C2F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E341802"/>
    <w:multiLevelType w:val="hybridMultilevel"/>
    <w:tmpl w:val="9066FC7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FE25E1D"/>
    <w:multiLevelType w:val="hybridMultilevel"/>
    <w:tmpl w:val="7F648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BC171B"/>
    <w:multiLevelType w:val="hybridMultilevel"/>
    <w:tmpl w:val="83864F6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5B800D3F"/>
    <w:multiLevelType w:val="singleLevel"/>
    <w:tmpl w:val="953A75E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1">
    <w:nsid w:val="629F4933"/>
    <w:multiLevelType w:val="hybridMultilevel"/>
    <w:tmpl w:val="031ED78A"/>
    <w:lvl w:ilvl="0" w:tplc="87AC4BCC">
      <w:start w:val="1"/>
      <w:numFmt w:val="bullet"/>
      <w:pStyle w:val="Bodytext1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54"/>
        </w:tabs>
        <w:ind w:left="15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74"/>
        </w:tabs>
        <w:ind w:left="22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94"/>
        </w:tabs>
        <w:ind w:left="29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14"/>
        </w:tabs>
        <w:ind w:left="37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34"/>
        </w:tabs>
        <w:ind w:left="44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54"/>
        </w:tabs>
        <w:ind w:left="51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74"/>
        </w:tabs>
        <w:ind w:left="58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94"/>
        </w:tabs>
        <w:ind w:left="6594" w:hanging="360"/>
      </w:pPr>
      <w:rPr>
        <w:rFonts w:ascii="Wingdings" w:hAnsi="Wingdings" w:hint="default"/>
      </w:rPr>
    </w:lvl>
  </w:abstractNum>
  <w:abstractNum w:abstractNumId="12">
    <w:nsid w:val="66F87209"/>
    <w:multiLevelType w:val="hybridMultilevel"/>
    <w:tmpl w:val="3A205F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16449D9"/>
    <w:multiLevelType w:val="singleLevel"/>
    <w:tmpl w:val="3530DE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  <w:sz w:val="24"/>
      </w:rPr>
    </w:lvl>
  </w:abstractNum>
  <w:abstractNum w:abstractNumId="14">
    <w:nsid w:val="723A7410"/>
    <w:multiLevelType w:val="hybridMultilevel"/>
    <w:tmpl w:val="D6D2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A294CBB"/>
    <w:multiLevelType w:val="hybridMultilevel"/>
    <w:tmpl w:val="0F96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9"/>
  </w:num>
  <w:num w:numId="10">
    <w:abstractNumId w:val="12"/>
  </w:num>
  <w:num w:numId="11">
    <w:abstractNumId w:val="14"/>
  </w:num>
  <w:num w:numId="12">
    <w:abstractNumId w:val="15"/>
  </w:num>
  <w:num w:numId="13">
    <w:abstractNumId w:val="8"/>
  </w:num>
  <w:num w:numId="14">
    <w:abstractNumId w:val="1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2FB"/>
    <w:rsid w:val="00007054"/>
    <w:rsid w:val="00026656"/>
    <w:rsid w:val="000266AE"/>
    <w:rsid w:val="00026F47"/>
    <w:rsid w:val="00037274"/>
    <w:rsid w:val="00037989"/>
    <w:rsid w:val="00054106"/>
    <w:rsid w:val="00055759"/>
    <w:rsid w:val="0006423B"/>
    <w:rsid w:val="00077C0E"/>
    <w:rsid w:val="00095776"/>
    <w:rsid w:val="000A7B2D"/>
    <w:rsid w:val="000B72E7"/>
    <w:rsid w:val="000D00C5"/>
    <w:rsid w:val="000D791F"/>
    <w:rsid w:val="000E3261"/>
    <w:rsid w:val="000E506E"/>
    <w:rsid w:val="000F0026"/>
    <w:rsid w:val="000F20F5"/>
    <w:rsid w:val="001046F1"/>
    <w:rsid w:val="00115028"/>
    <w:rsid w:val="0012121C"/>
    <w:rsid w:val="00136BA7"/>
    <w:rsid w:val="00141F2E"/>
    <w:rsid w:val="00144901"/>
    <w:rsid w:val="001574E1"/>
    <w:rsid w:val="00164E8F"/>
    <w:rsid w:val="001729F0"/>
    <w:rsid w:val="001800AC"/>
    <w:rsid w:val="0018060B"/>
    <w:rsid w:val="001865B1"/>
    <w:rsid w:val="00187B2D"/>
    <w:rsid w:val="001A2E5E"/>
    <w:rsid w:val="001C7848"/>
    <w:rsid w:val="00211729"/>
    <w:rsid w:val="002228EF"/>
    <w:rsid w:val="00224A37"/>
    <w:rsid w:val="002250C0"/>
    <w:rsid w:val="00241FE5"/>
    <w:rsid w:val="002472FF"/>
    <w:rsid w:val="00262F86"/>
    <w:rsid w:val="0027669F"/>
    <w:rsid w:val="00282E62"/>
    <w:rsid w:val="00283EA6"/>
    <w:rsid w:val="002877B6"/>
    <w:rsid w:val="002A0F1C"/>
    <w:rsid w:val="002B76CD"/>
    <w:rsid w:val="002C47A3"/>
    <w:rsid w:val="002D23D3"/>
    <w:rsid w:val="002D4E04"/>
    <w:rsid w:val="002E7347"/>
    <w:rsid w:val="003017BA"/>
    <w:rsid w:val="00315875"/>
    <w:rsid w:val="00326632"/>
    <w:rsid w:val="003276AA"/>
    <w:rsid w:val="00341210"/>
    <w:rsid w:val="00375539"/>
    <w:rsid w:val="00382CB0"/>
    <w:rsid w:val="003A2CC2"/>
    <w:rsid w:val="003D445D"/>
    <w:rsid w:val="003E24B5"/>
    <w:rsid w:val="003E377C"/>
    <w:rsid w:val="003E7E24"/>
    <w:rsid w:val="003F126C"/>
    <w:rsid w:val="003F1E45"/>
    <w:rsid w:val="003F68E0"/>
    <w:rsid w:val="00403A84"/>
    <w:rsid w:val="00404A0D"/>
    <w:rsid w:val="00422CEC"/>
    <w:rsid w:val="004330CA"/>
    <w:rsid w:val="0044131F"/>
    <w:rsid w:val="004730AB"/>
    <w:rsid w:val="00487596"/>
    <w:rsid w:val="004946FA"/>
    <w:rsid w:val="004C66EE"/>
    <w:rsid w:val="004D14EA"/>
    <w:rsid w:val="004D2408"/>
    <w:rsid w:val="004F58D5"/>
    <w:rsid w:val="00513EFC"/>
    <w:rsid w:val="00533786"/>
    <w:rsid w:val="00551776"/>
    <w:rsid w:val="00560708"/>
    <w:rsid w:val="00563DA6"/>
    <w:rsid w:val="0056502A"/>
    <w:rsid w:val="0057523F"/>
    <w:rsid w:val="0059703E"/>
    <w:rsid w:val="005A732A"/>
    <w:rsid w:val="005C0361"/>
    <w:rsid w:val="005D1893"/>
    <w:rsid w:val="005D7D51"/>
    <w:rsid w:val="005E2048"/>
    <w:rsid w:val="005F1540"/>
    <w:rsid w:val="00600FB2"/>
    <w:rsid w:val="00602022"/>
    <w:rsid w:val="00610CCA"/>
    <w:rsid w:val="0063533E"/>
    <w:rsid w:val="006361CE"/>
    <w:rsid w:val="006902D5"/>
    <w:rsid w:val="00694FC7"/>
    <w:rsid w:val="006B1F99"/>
    <w:rsid w:val="006C146E"/>
    <w:rsid w:val="006D26F6"/>
    <w:rsid w:val="006E5772"/>
    <w:rsid w:val="0071180D"/>
    <w:rsid w:val="00717216"/>
    <w:rsid w:val="007174B5"/>
    <w:rsid w:val="0074148B"/>
    <w:rsid w:val="00742269"/>
    <w:rsid w:val="00780B3A"/>
    <w:rsid w:val="00782314"/>
    <w:rsid w:val="007852CB"/>
    <w:rsid w:val="0079155D"/>
    <w:rsid w:val="007B2DAF"/>
    <w:rsid w:val="007B7529"/>
    <w:rsid w:val="007E3E02"/>
    <w:rsid w:val="007E7B9D"/>
    <w:rsid w:val="007F2B16"/>
    <w:rsid w:val="007F4B3F"/>
    <w:rsid w:val="00814A75"/>
    <w:rsid w:val="00825D14"/>
    <w:rsid w:val="00851B41"/>
    <w:rsid w:val="0086074C"/>
    <w:rsid w:val="0089694B"/>
    <w:rsid w:val="008D1266"/>
    <w:rsid w:val="008E63E2"/>
    <w:rsid w:val="008F0149"/>
    <w:rsid w:val="008F0A3A"/>
    <w:rsid w:val="009735B0"/>
    <w:rsid w:val="00974E41"/>
    <w:rsid w:val="00991CC5"/>
    <w:rsid w:val="009945FC"/>
    <w:rsid w:val="009A6C41"/>
    <w:rsid w:val="009A6E35"/>
    <w:rsid w:val="00A17323"/>
    <w:rsid w:val="00A5041B"/>
    <w:rsid w:val="00A50BFA"/>
    <w:rsid w:val="00A579FE"/>
    <w:rsid w:val="00A62E51"/>
    <w:rsid w:val="00A71278"/>
    <w:rsid w:val="00A81D71"/>
    <w:rsid w:val="00A850AC"/>
    <w:rsid w:val="00AA0358"/>
    <w:rsid w:val="00AC3CFC"/>
    <w:rsid w:val="00AC72CD"/>
    <w:rsid w:val="00AD54AF"/>
    <w:rsid w:val="00AE6060"/>
    <w:rsid w:val="00B0656C"/>
    <w:rsid w:val="00B07BBB"/>
    <w:rsid w:val="00B2316A"/>
    <w:rsid w:val="00B32602"/>
    <w:rsid w:val="00B34366"/>
    <w:rsid w:val="00B35F32"/>
    <w:rsid w:val="00B36D77"/>
    <w:rsid w:val="00B93F89"/>
    <w:rsid w:val="00B9465F"/>
    <w:rsid w:val="00BE2706"/>
    <w:rsid w:val="00BF120F"/>
    <w:rsid w:val="00C10801"/>
    <w:rsid w:val="00C21878"/>
    <w:rsid w:val="00C33CC8"/>
    <w:rsid w:val="00C66E8B"/>
    <w:rsid w:val="00C672FB"/>
    <w:rsid w:val="00C701EA"/>
    <w:rsid w:val="00C91C96"/>
    <w:rsid w:val="00CA2FF3"/>
    <w:rsid w:val="00CA55DA"/>
    <w:rsid w:val="00CA684A"/>
    <w:rsid w:val="00CC071D"/>
    <w:rsid w:val="00CC47F1"/>
    <w:rsid w:val="00CC7788"/>
    <w:rsid w:val="00CD3873"/>
    <w:rsid w:val="00CD53CE"/>
    <w:rsid w:val="00D00260"/>
    <w:rsid w:val="00D11D41"/>
    <w:rsid w:val="00D40C9C"/>
    <w:rsid w:val="00D417CD"/>
    <w:rsid w:val="00D4763F"/>
    <w:rsid w:val="00D64270"/>
    <w:rsid w:val="00D80846"/>
    <w:rsid w:val="00DC2BD0"/>
    <w:rsid w:val="00DE70AE"/>
    <w:rsid w:val="00E045B5"/>
    <w:rsid w:val="00E04F01"/>
    <w:rsid w:val="00E10CC6"/>
    <w:rsid w:val="00E13029"/>
    <w:rsid w:val="00E17270"/>
    <w:rsid w:val="00E218B0"/>
    <w:rsid w:val="00E269C2"/>
    <w:rsid w:val="00E3213A"/>
    <w:rsid w:val="00E34371"/>
    <w:rsid w:val="00E44139"/>
    <w:rsid w:val="00E54318"/>
    <w:rsid w:val="00E669AC"/>
    <w:rsid w:val="00EA3CA6"/>
    <w:rsid w:val="00EC4477"/>
    <w:rsid w:val="00EF69D7"/>
    <w:rsid w:val="00F16CCA"/>
    <w:rsid w:val="00F4661B"/>
    <w:rsid w:val="00F46BF3"/>
    <w:rsid w:val="00F4788E"/>
    <w:rsid w:val="00F539C9"/>
    <w:rsid w:val="00F607C7"/>
    <w:rsid w:val="00F9715A"/>
    <w:rsid w:val="00FD7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57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2FB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672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C672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72FB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BodyTextIndent">
    <w:name w:val="Body Text Indent"/>
    <w:basedOn w:val="Normal"/>
    <w:link w:val="BodyTextIndentChar"/>
    <w:rsid w:val="00C672F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672FB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">
    <w:name w:val="Style"/>
    <w:rsid w:val="00C672FB"/>
    <w:pPr>
      <w:widowControl w:val="0"/>
      <w:autoSpaceDE w:val="0"/>
      <w:autoSpaceDN w:val="0"/>
      <w:adjustRightInd w:val="0"/>
      <w:ind w:left="140" w:right="140" w:firstLine="8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7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 w:eastAsia="bg-BG"/>
    </w:rPr>
  </w:style>
  <w:style w:type="character" w:customStyle="1" w:styleId="Heading2Char1">
    <w:name w:val="Heading 2 Char1"/>
    <w:basedOn w:val="DefaultParagraphFont"/>
    <w:link w:val="Heading2"/>
    <w:rsid w:val="00C672FB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Normale">
    <w:name w:val="Normale"/>
    <w:basedOn w:val="Normal"/>
    <w:next w:val="Normal"/>
    <w:rsid w:val="00B35F32"/>
    <w:pPr>
      <w:widowControl w:val="0"/>
      <w:autoSpaceDE w:val="0"/>
      <w:autoSpaceDN w:val="0"/>
      <w:adjustRightInd w:val="0"/>
      <w:spacing w:after="60"/>
    </w:pPr>
    <w:rPr>
      <w:rFonts w:ascii="TimesNewRoman,Bold" w:hAnsi="TimesNewRoman,Bold"/>
      <w:szCs w:val="20"/>
    </w:rPr>
  </w:style>
  <w:style w:type="paragraph" w:styleId="BodyTextIndent3">
    <w:name w:val="Body Text Indent 3"/>
    <w:basedOn w:val="Normal"/>
    <w:link w:val="BodyTextIndent3Char"/>
    <w:rsid w:val="009A6E3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6E35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1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10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054106"/>
    <w:pPr>
      <w:numPr>
        <w:ilvl w:val="1"/>
        <w:numId w:val="3"/>
      </w:numPr>
      <w:tabs>
        <w:tab w:val="clear" w:pos="1788"/>
        <w:tab w:val="num" w:pos="1068"/>
      </w:tabs>
      <w:ind w:left="1066" w:hanging="357"/>
      <w:jc w:val="both"/>
    </w:pPr>
    <w:rPr>
      <w:sz w:val="22"/>
      <w:szCs w:val="22"/>
      <w:lang w:eastAsia="en-US"/>
    </w:rPr>
  </w:style>
  <w:style w:type="paragraph" w:customStyle="1" w:styleId="Bodytext1">
    <w:name w:val="Body text1"/>
    <w:basedOn w:val="Normal"/>
    <w:rsid w:val="00054106"/>
    <w:pPr>
      <w:numPr>
        <w:numId w:val="2"/>
      </w:numPr>
      <w:tabs>
        <w:tab w:val="clear" w:pos="1211"/>
        <w:tab w:val="num" w:pos="360"/>
      </w:tabs>
      <w:autoSpaceDE w:val="0"/>
      <w:autoSpaceDN w:val="0"/>
      <w:adjustRightInd w:val="0"/>
      <w:ind w:left="714" w:hanging="357"/>
      <w:jc w:val="both"/>
    </w:pPr>
    <w:rPr>
      <w:sz w:val="22"/>
      <w:szCs w:val="22"/>
    </w:rPr>
  </w:style>
  <w:style w:type="paragraph" w:customStyle="1" w:styleId="Char1">
    <w:name w:val="Char1"/>
    <w:basedOn w:val="Normal"/>
    <w:rsid w:val="0005410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12121C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rsid w:val="0012121C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2">
    <w:name w:val="Body Text 2"/>
    <w:basedOn w:val="Normal"/>
    <w:link w:val="BodyText2Char"/>
    <w:rsid w:val="001212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2121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136B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6BA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53C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CD53C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D53CE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CD53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3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3CE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AB5AC-A93D-45A8-801A-CDAD50D8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 Stojanov</dc:creator>
  <cp:lastModifiedBy>Zahari</cp:lastModifiedBy>
  <cp:revision>2</cp:revision>
  <dcterms:created xsi:type="dcterms:W3CDTF">2012-04-19T08:44:00Z</dcterms:created>
  <dcterms:modified xsi:type="dcterms:W3CDTF">2012-04-19T08:44:00Z</dcterms:modified>
</cp:coreProperties>
</file>